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17E23" w14:textId="77777777" w:rsidR="00CF7C46" w:rsidRPr="00A50EA6" w:rsidRDefault="00862FBE" w:rsidP="00CF7C46">
      <w:pPr>
        <w:pStyle w:val="Ttulo3"/>
        <w:keepNext w:val="0"/>
        <w:widowControl w:val="0"/>
        <w:spacing w:line="240" w:lineRule="auto"/>
        <w:ind w:hanging="24"/>
        <w:rPr>
          <w:color w:val="auto"/>
        </w:rPr>
      </w:pPr>
      <w:bookmarkStart w:id="0" w:name="a2"/>
      <w:r w:rsidRPr="00A50EA6">
        <w:rPr>
          <w:color w:val="auto"/>
        </w:rPr>
        <w:t>INFORME DE SECRETARIA</w:t>
      </w:r>
    </w:p>
    <w:bookmarkEnd w:id="0"/>
    <w:p w14:paraId="5160A469" w14:textId="77777777" w:rsidR="00CF7C46" w:rsidRPr="008448D6" w:rsidRDefault="00CF7C46" w:rsidP="00CF7C46">
      <w:pPr>
        <w:pStyle w:val="verdanaaaaaaaaaaaaaaaaaaaaaaaaaaaaaaaa"/>
        <w:spacing w:line="240" w:lineRule="auto"/>
      </w:pPr>
    </w:p>
    <w:p w14:paraId="0390239F" w14:textId="77777777" w:rsidR="008A59A5" w:rsidRPr="008448D6" w:rsidRDefault="008A59A5" w:rsidP="008A59A5">
      <w:pPr>
        <w:pStyle w:val="verdanaaaaaaaaaaaaaaaaaaaaaaaaaaaaaaaa"/>
        <w:spacing w:line="240" w:lineRule="auto"/>
        <w:ind w:firstLine="0"/>
      </w:pPr>
    </w:p>
    <w:p w14:paraId="4BB33399" w14:textId="77777777" w:rsidR="00862FBE" w:rsidRPr="00862FBE" w:rsidRDefault="00862FBE" w:rsidP="00862FBE">
      <w:pPr>
        <w:pStyle w:val="verdanaaaaaaaaaaaaaaaaaaaaaaaaaaaaaaaa"/>
        <w:spacing w:line="240" w:lineRule="auto"/>
        <w:ind w:firstLine="0"/>
        <w:rPr>
          <w:szCs w:val="20"/>
          <w:lang w:val="ca-ES"/>
        </w:rPr>
      </w:pPr>
      <w:r w:rsidRPr="00862FBE">
        <w:rPr>
          <w:szCs w:val="20"/>
          <w:lang w:val="ca-ES"/>
        </w:rPr>
        <w:t>D'acord amb</w:t>
      </w:r>
      <w:r w:rsidR="009119CA">
        <w:rPr>
          <w:szCs w:val="20"/>
          <w:lang w:val="ca-ES"/>
        </w:rPr>
        <w:t xml:space="preserve"> allò o</w:t>
      </w:r>
      <w:r w:rsidRPr="00862FBE">
        <w:rPr>
          <w:szCs w:val="20"/>
          <w:lang w:val="ca-ES"/>
        </w:rPr>
        <w:t>rdenat per l'Ajuntament mitjançant Providència de data __________, i en compliment del que estableix l'article 3.3 a) del Reial Decret 128/2018, de 16 de març, pel qual es regula el règim jurídic dels funcionaris de Administració Local amb habilitació de caràcter nacional, emet el següent,</w:t>
      </w:r>
    </w:p>
    <w:p w14:paraId="34CF4E33" w14:textId="77777777" w:rsidR="00862FBE" w:rsidRPr="00862FBE" w:rsidRDefault="00862FBE" w:rsidP="00862FBE">
      <w:pPr>
        <w:pStyle w:val="verdanaaaaaaaaaaaaaaaaaaaaaaaaaaaaaaaa"/>
        <w:spacing w:line="240" w:lineRule="auto"/>
        <w:rPr>
          <w:szCs w:val="20"/>
          <w:lang w:val="ca-ES"/>
        </w:rPr>
      </w:pPr>
    </w:p>
    <w:p w14:paraId="0FF7B74C" w14:textId="77777777" w:rsidR="00862FBE" w:rsidRPr="00862FBE" w:rsidRDefault="00862FBE" w:rsidP="00A50EA6">
      <w:pPr>
        <w:pStyle w:val="verdanaaaaaaaaaaaaaaaaaaaaaaaaaaaaaaaa"/>
        <w:spacing w:line="240" w:lineRule="auto"/>
        <w:ind w:left="2832" w:firstLine="708"/>
        <w:rPr>
          <w:b/>
          <w:szCs w:val="20"/>
          <w:lang w:val="ca-ES"/>
        </w:rPr>
      </w:pPr>
      <w:r w:rsidRPr="00862FBE">
        <w:rPr>
          <w:b/>
          <w:szCs w:val="20"/>
          <w:lang w:val="ca-ES"/>
        </w:rPr>
        <w:t>INFORME</w:t>
      </w:r>
    </w:p>
    <w:p w14:paraId="2D3F9E00" w14:textId="77777777" w:rsidR="00862FBE" w:rsidRPr="00862FBE" w:rsidRDefault="00862FBE" w:rsidP="00862FBE">
      <w:pPr>
        <w:pStyle w:val="verdanaaaaaaaaaaaaaaaaaaaaaaaaaaaaaaaa"/>
        <w:spacing w:line="240" w:lineRule="auto"/>
        <w:rPr>
          <w:szCs w:val="20"/>
          <w:lang w:val="ca-ES"/>
        </w:rPr>
      </w:pPr>
    </w:p>
    <w:p w14:paraId="76F24325" w14:textId="77777777" w:rsidR="00A50EA6" w:rsidRPr="0091407B" w:rsidRDefault="00A50EA6" w:rsidP="00A50EA6">
      <w:pPr>
        <w:widowControl w:val="0"/>
        <w:jc w:val="both"/>
        <w:rPr>
          <w:rFonts w:ascii="Verdana" w:hAnsi="Verdana"/>
          <w:sz w:val="20"/>
          <w:lang w:val="ca-ES"/>
        </w:rPr>
      </w:pPr>
    </w:p>
    <w:p w14:paraId="4706C87E" w14:textId="77777777" w:rsidR="00A50EA6" w:rsidRPr="0091407B" w:rsidRDefault="00A50EA6" w:rsidP="00A50EA6">
      <w:pPr>
        <w:widowControl w:val="0"/>
        <w:jc w:val="both"/>
        <w:rPr>
          <w:rFonts w:ascii="Verdana" w:hAnsi="Verdana"/>
          <w:i/>
          <w:iCs/>
          <w:sz w:val="20"/>
          <w:lang w:val="ca-ES"/>
        </w:rPr>
      </w:pPr>
      <w:r w:rsidRPr="0091407B">
        <w:rPr>
          <w:rFonts w:ascii="Verdana" w:hAnsi="Verdana"/>
          <w:b/>
          <w:bCs/>
          <w:sz w:val="20"/>
          <w:lang w:val="ca-ES"/>
        </w:rPr>
        <w:t>PRIMER.</w:t>
      </w:r>
      <w:r w:rsidRPr="0091407B">
        <w:rPr>
          <w:rFonts w:ascii="Verdana" w:hAnsi="Verdana"/>
          <w:sz w:val="20"/>
          <w:lang w:val="ca-ES"/>
        </w:rPr>
        <w:t xml:space="preserve"> Són convenis els acords amb efectes jurídics adoptats per les Administracions Públiques, els organismes públics i entitats de dret públic vinculats o dependents o les Universitats públiques entre si o amb subjectes de dret privat per a una fi comuna.</w:t>
      </w:r>
    </w:p>
    <w:p w14:paraId="6A4672E5" w14:textId="77777777" w:rsidR="00A50EA6" w:rsidRPr="0091407B" w:rsidRDefault="00A50EA6" w:rsidP="00A50EA6">
      <w:pPr>
        <w:widowControl w:val="0"/>
        <w:ind w:firstLine="697"/>
        <w:jc w:val="both"/>
        <w:rPr>
          <w:rFonts w:ascii="Verdana" w:hAnsi="Verdana"/>
          <w:i/>
          <w:iCs/>
          <w:sz w:val="20"/>
          <w:lang w:val="ca-ES"/>
        </w:rPr>
      </w:pPr>
    </w:p>
    <w:p w14:paraId="2BB2B553" w14:textId="1907C01F" w:rsidR="00A50EA6" w:rsidRDefault="00A50EA6" w:rsidP="00A50EA6">
      <w:pPr>
        <w:widowControl w:val="0"/>
        <w:jc w:val="both"/>
        <w:rPr>
          <w:rFonts w:ascii="Verdana" w:hAnsi="Verdana"/>
          <w:color w:val="000000"/>
          <w:sz w:val="20"/>
          <w:lang w:val="ca-ES"/>
        </w:rPr>
      </w:pPr>
      <w:r w:rsidRPr="0091407B">
        <w:rPr>
          <w:rFonts w:ascii="Verdana" w:hAnsi="Verdana"/>
          <w:color w:val="000000"/>
          <w:sz w:val="20"/>
          <w:lang w:val="ca-ES"/>
        </w:rPr>
        <w:t>Els convenis urbanístics tenen naturalesa jurídic- administrativa i les qüestions relatives al seu compliment, interpretació, efectes i extinció són competència de l'ordre jurisdiccional contenciós-administratiu.</w:t>
      </w:r>
    </w:p>
    <w:p w14:paraId="596223D3" w14:textId="25054932" w:rsidR="00A50EA6" w:rsidRDefault="00A50EA6" w:rsidP="00A50EA6">
      <w:pPr>
        <w:widowControl w:val="0"/>
        <w:jc w:val="both"/>
        <w:rPr>
          <w:rFonts w:ascii="Verdana" w:hAnsi="Verdana"/>
          <w:color w:val="000000"/>
          <w:sz w:val="20"/>
          <w:lang w:val="ca-ES"/>
        </w:rPr>
      </w:pPr>
    </w:p>
    <w:p w14:paraId="6050BD4D" w14:textId="77777777" w:rsidR="00A50EA6" w:rsidRPr="00A50EA6" w:rsidRDefault="00A50EA6" w:rsidP="00A50EA6">
      <w:pPr>
        <w:jc w:val="both"/>
        <w:rPr>
          <w:rFonts w:ascii="Verdana" w:hAnsi="Verdana"/>
          <w:bCs/>
          <w:sz w:val="20"/>
          <w:szCs w:val="20"/>
          <w:lang w:val="ca-ES"/>
        </w:rPr>
      </w:pPr>
      <w:r w:rsidRPr="00A50EA6">
        <w:rPr>
          <w:rFonts w:ascii="Verdana" w:hAnsi="Verdana"/>
          <w:bCs/>
          <w:sz w:val="20"/>
          <w:szCs w:val="20"/>
          <w:lang w:val="ca-ES"/>
        </w:rPr>
        <w:t xml:space="preserve">El Text Refós de la Llei d'Urbanisme, aprovat pel Decret Legislatiu 1/2010, de 3 d'agost, recull la tradicional distinció -ja consolidada per la jurisprudència-, entre dos tipus de convenis en funció del seu objecte: els convenis urbanístics de gestió i els convenis de planejament. Aquesta distinció, pels compromisos plasmats en ells, determina el reconeixement d'una naturalesa jurídica diferent dels uns i els altres: tractant-se d'un </w:t>
      </w:r>
      <w:r w:rsidRPr="00A50EA6">
        <w:rPr>
          <w:rFonts w:ascii="Verdana" w:hAnsi="Verdana"/>
          <w:b/>
          <w:bCs/>
          <w:sz w:val="20"/>
          <w:szCs w:val="20"/>
          <w:lang w:val="ca-ES"/>
        </w:rPr>
        <w:t>conveni de gestió</w:t>
      </w:r>
      <w:r w:rsidRPr="00A50EA6">
        <w:rPr>
          <w:rFonts w:ascii="Verdana" w:hAnsi="Verdana"/>
          <w:bCs/>
          <w:sz w:val="20"/>
          <w:szCs w:val="20"/>
          <w:lang w:val="ca-ES"/>
        </w:rPr>
        <w:t xml:space="preserve">, la doctrina ha destacat la seva naturalesa jurídic-administrativa, considerant-los com a veritables contractes administratius; els </w:t>
      </w:r>
      <w:r w:rsidRPr="00A50EA6">
        <w:rPr>
          <w:rFonts w:ascii="Verdana" w:hAnsi="Verdana"/>
          <w:b/>
          <w:bCs/>
          <w:sz w:val="20"/>
          <w:szCs w:val="20"/>
          <w:lang w:val="ca-ES"/>
        </w:rPr>
        <w:t>convenis de planejament</w:t>
      </w:r>
      <w:r w:rsidRPr="00A50EA6">
        <w:rPr>
          <w:rFonts w:ascii="Verdana" w:hAnsi="Verdana"/>
          <w:bCs/>
          <w:sz w:val="20"/>
          <w:szCs w:val="20"/>
          <w:lang w:val="ca-ES"/>
        </w:rPr>
        <w:t>, per contra, prenen la naturalesa de contractes-convenció, ja que no comporten obligacions recíproques entre les parts (pròpies d'un contracte), sinó més aviat compromisos paral·lels entre l'Administració i l'altra part que ho subscriu, no podent comprometre en cap cas la potestat administrativa de planejament, indisponible per via contractual o convencional.</w:t>
      </w:r>
    </w:p>
    <w:p w14:paraId="01E30DD8" w14:textId="77777777" w:rsidR="00A50EA6" w:rsidRPr="0091407B" w:rsidRDefault="00A50EA6" w:rsidP="00A50EA6">
      <w:pPr>
        <w:widowControl w:val="0"/>
        <w:jc w:val="both"/>
        <w:rPr>
          <w:rFonts w:ascii="Verdana" w:hAnsi="Verdana"/>
          <w:i/>
          <w:iCs/>
          <w:color w:val="000000"/>
          <w:sz w:val="20"/>
          <w:lang w:val="ca-ES"/>
        </w:rPr>
      </w:pPr>
    </w:p>
    <w:p w14:paraId="7E96BF07" w14:textId="3A90CF40" w:rsidR="00A50EA6" w:rsidRPr="0091407B" w:rsidRDefault="00A50EA6" w:rsidP="00A50EA6">
      <w:pPr>
        <w:widowControl w:val="0"/>
        <w:jc w:val="both"/>
        <w:rPr>
          <w:rFonts w:ascii="Verdana" w:hAnsi="Verdana"/>
          <w:i/>
          <w:iCs/>
          <w:color w:val="000000"/>
          <w:sz w:val="20"/>
          <w:lang w:val="ca-ES"/>
        </w:rPr>
      </w:pPr>
      <w:r w:rsidRPr="0091407B">
        <w:rPr>
          <w:rFonts w:ascii="Verdana" w:hAnsi="Verdana"/>
          <w:color w:val="000000"/>
          <w:sz w:val="20"/>
          <w:lang w:val="ca-ES"/>
        </w:rPr>
        <w:t xml:space="preserve">L'aprovació, formalització i execució dels convenis urbanístics </w:t>
      </w:r>
      <w:r>
        <w:rPr>
          <w:rFonts w:ascii="Verdana" w:hAnsi="Verdana"/>
          <w:color w:val="000000"/>
          <w:sz w:val="20"/>
          <w:lang w:val="ca-ES"/>
        </w:rPr>
        <w:t>es</w:t>
      </w:r>
      <w:r w:rsidRPr="0091407B">
        <w:rPr>
          <w:rFonts w:ascii="Verdana" w:hAnsi="Verdana"/>
          <w:color w:val="000000"/>
          <w:sz w:val="20"/>
          <w:lang w:val="ca-ES"/>
        </w:rPr>
        <w:t xml:space="preserve"> subjecta a la normativa reguladora de les entitats públiques que els subscriguin.</w:t>
      </w:r>
    </w:p>
    <w:p w14:paraId="782B6C26" w14:textId="77777777" w:rsidR="00A50EA6" w:rsidRPr="0091407B" w:rsidRDefault="00A50EA6" w:rsidP="00A50EA6">
      <w:pPr>
        <w:widowControl w:val="0"/>
        <w:ind w:firstLine="697"/>
        <w:jc w:val="both"/>
        <w:rPr>
          <w:rFonts w:ascii="Verdana" w:hAnsi="Verdana"/>
          <w:i/>
          <w:iCs/>
          <w:sz w:val="20"/>
          <w:lang w:val="ca-ES"/>
        </w:rPr>
      </w:pPr>
    </w:p>
    <w:p w14:paraId="34E0E145" w14:textId="77777777" w:rsidR="00A50EA6" w:rsidRPr="0091407B" w:rsidRDefault="00A50EA6" w:rsidP="00A50EA6">
      <w:pPr>
        <w:widowControl w:val="0"/>
        <w:jc w:val="both"/>
        <w:rPr>
          <w:rFonts w:ascii="Verdana" w:hAnsi="Verdana"/>
          <w:sz w:val="20"/>
          <w:lang w:val="ca-ES"/>
        </w:rPr>
      </w:pPr>
      <w:r w:rsidRPr="0091407B">
        <w:rPr>
          <w:rFonts w:ascii="Verdana" w:hAnsi="Verdana"/>
          <w:b/>
          <w:sz w:val="20"/>
          <w:lang w:val="ca-ES"/>
        </w:rPr>
        <w:t>SEGON.</w:t>
      </w:r>
      <w:r w:rsidRPr="0091407B">
        <w:rPr>
          <w:rFonts w:ascii="Verdana" w:hAnsi="Verdana"/>
          <w:sz w:val="20"/>
          <w:lang w:val="ca-ES"/>
        </w:rPr>
        <w:t xml:space="preserve"> La Legislació aplicable ve determinada per:</w:t>
      </w:r>
    </w:p>
    <w:p w14:paraId="3A762E22" w14:textId="77777777" w:rsidR="00A50EA6" w:rsidRPr="0091407B" w:rsidRDefault="00A50EA6" w:rsidP="00A50EA6">
      <w:pPr>
        <w:widowControl w:val="0"/>
        <w:jc w:val="both"/>
        <w:rPr>
          <w:rFonts w:ascii="Verdana" w:hAnsi="Verdana"/>
          <w:sz w:val="20"/>
          <w:lang w:val="ca-ES"/>
        </w:rPr>
      </w:pPr>
    </w:p>
    <w:p w14:paraId="62D48F16" w14:textId="77777777" w:rsidR="00A50EA6" w:rsidRPr="0091407B" w:rsidRDefault="00A50EA6" w:rsidP="00A50EA6">
      <w:pPr>
        <w:widowControl w:val="0"/>
        <w:jc w:val="both"/>
        <w:rPr>
          <w:rFonts w:ascii="Verdana" w:hAnsi="Verdana"/>
          <w:sz w:val="20"/>
          <w:lang w:val="ca-ES"/>
        </w:rPr>
      </w:pPr>
      <w:r w:rsidRPr="0091407B">
        <w:rPr>
          <w:rFonts w:ascii="Verdana" w:hAnsi="Verdana"/>
          <w:sz w:val="20"/>
          <w:lang w:val="ca-ES"/>
        </w:rPr>
        <w:t>— Els articles 8.3, i 104 del Text Refós de la Llei d'Urbanisme, aprovat pel Decret Legislatiu 1/2010, de 3 d'agost.</w:t>
      </w:r>
    </w:p>
    <w:p w14:paraId="0F823CCD" w14:textId="77777777" w:rsidR="00A50EA6" w:rsidRPr="0091407B" w:rsidRDefault="00A50EA6" w:rsidP="00A50EA6">
      <w:pPr>
        <w:widowControl w:val="0"/>
        <w:jc w:val="both"/>
        <w:rPr>
          <w:rFonts w:ascii="Verdana" w:hAnsi="Verdana"/>
          <w:color w:val="000000"/>
          <w:sz w:val="20"/>
          <w:lang w:val="ca-ES"/>
        </w:rPr>
      </w:pPr>
      <w:r w:rsidRPr="0091407B">
        <w:rPr>
          <w:rFonts w:ascii="Verdana" w:hAnsi="Verdana"/>
          <w:color w:val="000000"/>
          <w:sz w:val="20"/>
          <w:lang w:val="ca-ES"/>
        </w:rPr>
        <w:t>— Els articles 25 i 26 del Reglament de la Llei Urbanística de Catalunya, aprovat pel Decret 305/2006, de 18 de juliol.</w:t>
      </w:r>
    </w:p>
    <w:p w14:paraId="126336FA" w14:textId="77777777" w:rsidR="00A50EA6" w:rsidRPr="0091407B" w:rsidRDefault="00A50EA6" w:rsidP="00A50EA6">
      <w:pPr>
        <w:widowControl w:val="0"/>
        <w:jc w:val="both"/>
        <w:rPr>
          <w:rFonts w:ascii="Verdana" w:hAnsi="Verdana"/>
          <w:bCs/>
          <w:sz w:val="20"/>
          <w:szCs w:val="20"/>
          <w:lang w:val="ca-ES"/>
        </w:rPr>
      </w:pPr>
      <w:r w:rsidRPr="0091407B">
        <w:rPr>
          <w:rFonts w:ascii="Verdana" w:hAnsi="Verdana"/>
          <w:bCs/>
          <w:sz w:val="20"/>
          <w:szCs w:val="20"/>
          <w:lang w:val="ca-ES"/>
        </w:rPr>
        <w:t>— Els articles 18, 25 i 61 del Text Refós de la Llei de Sòl i Rehabilitació Urbana, aprovat pel Reial decret Legislatiu 7/2015, de 30 d'octubre.</w:t>
      </w:r>
    </w:p>
    <w:p w14:paraId="0340D8A2" w14:textId="77777777" w:rsidR="00A50EA6" w:rsidRPr="0091407B" w:rsidRDefault="00A50EA6" w:rsidP="00A50EA6">
      <w:pPr>
        <w:widowControl w:val="0"/>
        <w:jc w:val="both"/>
        <w:rPr>
          <w:rFonts w:ascii="Verdana" w:hAnsi="Verdana"/>
          <w:sz w:val="20"/>
          <w:szCs w:val="20"/>
          <w:lang w:val="ca-ES"/>
        </w:rPr>
      </w:pPr>
      <w:r w:rsidRPr="0091407B">
        <w:rPr>
          <w:rFonts w:ascii="Verdana" w:hAnsi="Verdana"/>
          <w:sz w:val="20"/>
          <w:szCs w:val="20"/>
          <w:lang w:val="ca-ES"/>
        </w:rPr>
        <w:t>— Els articles 47 a 53 de la Llei 40/2015, d'1 d'octubre, de Règim jurídic de les Administracions Públiques.</w:t>
      </w:r>
    </w:p>
    <w:p w14:paraId="69C38116" w14:textId="77777777" w:rsidR="00A50EA6" w:rsidRPr="0091407B" w:rsidRDefault="00A50EA6" w:rsidP="00A50EA6">
      <w:pPr>
        <w:widowControl w:val="0"/>
        <w:jc w:val="both"/>
        <w:rPr>
          <w:rFonts w:ascii="Verdana" w:hAnsi="Verdana"/>
          <w:sz w:val="20"/>
          <w:lang w:val="ca-ES"/>
        </w:rPr>
      </w:pPr>
      <w:r w:rsidRPr="0091407B">
        <w:rPr>
          <w:rFonts w:ascii="Verdana" w:hAnsi="Verdana"/>
          <w:sz w:val="20"/>
          <w:lang w:val="ca-ES"/>
        </w:rPr>
        <w:t>— Els articles 21.1.j), 22.2.c) i 70 TER de la Llei 7/1985, de 2 d'abril, reguladora de les Bases del Règim Local.</w:t>
      </w:r>
    </w:p>
    <w:p w14:paraId="0C3C18B7" w14:textId="77777777" w:rsidR="00A50EA6" w:rsidRPr="0091407B" w:rsidRDefault="00A50EA6" w:rsidP="00A50EA6">
      <w:pPr>
        <w:widowControl w:val="0"/>
        <w:jc w:val="both"/>
        <w:rPr>
          <w:rFonts w:ascii="Verdana" w:hAnsi="Verdana"/>
          <w:sz w:val="20"/>
          <w:lang w:val="ca-ES"/>
        </w:rPr>
      </w:pPr>
      <w:r w:rsidRPr="0091407B">
        <w:rPr>
          <w:rFonts w:ascii="Verdana" w:hAnsi="Verdana"/>
          <w:sz w:val="20"/>
          <w:lang w:val="ca-ES"/>
        </w:rPr>
        <w:t>— Els articles 52.2.c) i 53.1.s) del Text Refós de la Llei Municipal i de Règim Local de Catalunya, aprovat per Decret legislatiu 2/2003 de 28 d'abril.</w:t>
      </w:r>
    </w:p>
    <w:p w14:paraId="788CE84A" w14:textId="77777777" w:rsidR="00A50EA6" w:rsidRPr="0091407B" w:rsidRDefault="00A50EA6" w:rsidP="00A50EA6">
      <w:pPr>
        <w:widowControl w:val="0"/>
        <w:jc w:val="both"/>
        <w:rPr>
          <w:rFonts w:ascii="Verdana" w:hAnsi="Verdana"/>
          <w:sz w:val="20"/>
          <w:szCs w:val="20"/>
          <w:lang w:val="ca-ES"/>
        </w:rPr>
      </w:pPr>
      <w:r w:rsidRPr="0091407B">
        <w:rPr>
          <w:rFonts w:ascii="Verdana" w:hAnsi="Verdana"/>
          <w:sz w:val="20"/>
          <w:szCs w:val="20"/>
          <w:lang w:val="ca-ES"/>
        </w:rPr>
        <w:t>— Els articles 82, 83 i 86 de la Llei 39/2015, d'1 d'octubre, del Procediment Administratiu Comú de les Administracions Públiques.</w:t>
      </w:r>
    </w:p>
    <w:p w14:paraId="50B8477B" w14:textId="77777777" w:rsidR="00A50EA6" w:rsidRPr="0091407B" w:rsidRDefault="00A50EA6" w:rsidP="00A50EA6">
      <w:pPr>
        <w:widowControl w:val="0"/>
        <w:ind w:firstLine="697"/>
        <w:jc w:val="both"/>
        <w:rPr>
          <w:rFonts w:ascii="Verdana" w:hAnsi="Verdana"/>
          <w:sz w:val="20"/>
          <w:lang w:val="ca-ES"/>
        </w:rPr>
      </w:pPr>
    </w:p>
    <w:p w14:paraId="489B2967" w14:textId="77777777" w:rsidR="00A50EA6" w:rsidRPr="0091407B" w:rsidRDefault="00A50EA6" w:rsidP="00A50EA6">
      <w:pPr>
        <w:tabs>
          <w:tab w:val="left" w:pos="709"/>
        </w:tabs>
        <w:jc w:val="both"/>
        <w:rPr>
          <w:rFonts w:ascii="Verdana" w:hAnsi="Verdana"/>
          <w:sz w:val="20"/>
          <w:lang w:val="ca-ES"/>
        </w:rPr>
      </w:pPr>
      <w:r w:rsidRPr="0091407B">
        <w:rPr>
          <w:rFonts w:ascii="Verdana" w:hAnsi="Verdana"/>
          <w:b/>
          <w:sz w:val="20"/>
          <w:lang w:val="ca-ES"/>
        </w:rPr>
        <w:t xml:space="preserve">TERCER. </w:t>
      </w:r>
      <w:r w:rsidRPr="0091407B">
        <w:rPr>
          <w:rFonts w:ascii="Verdana" w:hAnsi="Verdana"/>
          <w:sz w:val="20"/>
          <w:lang w:val="ca-ES"/>
        </w:rPr>
        <w:t>Tot conveni haurà d'anar acompanyat d'una memòria justificativa on s'analitzi la seva necessitat i l'oportunitat, el seu impacte econòmic, el caràcter no contractual de l'activitat, així com la resta de requisits que estableixi la legislació.</w:t>
      </w:r>
    </w:p>
    <w:p w14:paraId="03902798" w14:textId="77777777" w:rsidR="00A50EA6" w:rsidRPr="0091407B" w:rsidRDefault="00A50EA6" w:rsidP="00A50EA6">
      <w:pPr>
        <w:widowControl w:val="0"/>
        <w:ind w:firstLine="697"/>
        <w:jc w:val="both"/>
        <w:rPr>
          <w:rFonts w:ascii="Verdana" w:hAnsi="Verdana"/>
          <w:sz w:val="20"/>
          <w:lang w:val="ca-ES"/>
        </w:rPr>
      </w:pPr>
    </w:p>
    <w:p w14:paraId="4C4B9728" w14:textId="77777777" w:rsidR="00A50EA6" w:rsidRPr="0091407B" w:rsidRDefault="00A50EA6" w:rsidP="00A50EA6">
      <w:pPr>
        <w:widowControl w:val="0"/>
        <w:jc w:val="both"/>
        <w:rPr>
          <w:rFonts w:ascii="Verdana" w:hAnsi="Verdana"/>
          <w:i/>
          <w:iCs/>
          <w:color w:val="000000"/>
          <w:sz w:val="20"/>
          <w:lang w:val="ca-ES"/>
        </w:rPr>
      </w:pPr>
      <w:r w:rsidRPr="0091407B">
        <w:rPr>
          <w:rFonts w:ascii="Verdana" w:hAnsi="Verdana"/>
          <w:b/>
          <w:sz w:val="20"/>
          <w:lang w:val="ca-ES"/>
        </w:rPr>
        <w:lastRenderedPageBreak/>
        <w:t>QUART.</w:t>
      </w:r>
      <w:r w:rsidRPr="0091407B">
        <w:rPr>
          <w:rFonts w:ascii="Verdana" w:hAnsi="Verdana"/>
          <w:sz w:val="20"/>
          <w:lang w:val="ca-ES"/>
        </w:rPr>
        <w:t xml:space="preserve"> </w:t>
      </w:r>
      <w:r w:rsidRPr="0091407B">
        <w:rPr>
          <w:rFonts w:ascii="Verdana" w:hAnsi="Verdana"/>
          <w:color w:val="000000"/>
          <w:sz w:val="20"/>
          <w:lang w:val="ca-ES"/>
        </w:rPr>
        <w:t>Els convenis urbanístics es perfeccionen i obliguen exclusivament a les parts, d'acord amb el seu contingut, des de la seva aprovació per l'administració o entitat pública que els subscriu.</w:t>
      </w:r>
    </w:p>
    <w:p w14:paraId="0AF2C86E" w14:textId="77777777" w:rsidR="00A50EA6" w:rsidRPr="0091407B" w:rsidRDefault="00A50EA6" w:rsidP="00A50EA6">
      <w:pPr>
        <w:widowControl w:val="0"/>
        <w:ind w:firstLine="697"/>
        <w:jc w:val="both"/>
        <w:rPr>
          <w:rFonts w:ascii="Verdana" w:hAnsi="Verdana"/>
          <w:sz w:val="20"/>
          <w:lang w:val="ca-ES"/>
        </w:rPr>
      </w:pPr>
    </w:p>
    <w:p w14:paraId="1EFFD0D8" w14:textId="77777777" w:rsidR="00A50EA6" w:rsidRPr="0091407B" w:rsidRDefault="00A50EA6" w:rsidP="00A50EA6">
      <w:pPr>
        <w:widowControl w:val="0"/>
        <w:jc w:val="both"/>
        <w:rPr>
          <w:rFonts w:ascii="Verdana" w:hAnsi="Verdana"/>
          <w:sz w:val="20"/>
          <w:lang w:val="ca-ES"/>
        </w:rPr>
      </w:pPr>
      <w:r w:rsidRPr="0091407B">
        <w:rPr>
          <w:rFonts w:ascii="Verdana" w:hAnsi="Verdana"/>
          <w:sz w:val="20"/>
          <w:lang w:val="ca-ES"/>
        </w:rPr>
        <w:t>En cap cas condicionen les competències públiques en matèria de planejament urbanístic, les quals no poden ser objecte de transacció, i no poden comportar per a les persones propietàries obligacions o càrregues addicionals o més costoses que les establertes per la legislació aplicable.</w:t>
      </w:r>
    </w:p>
    <w:p w14:paraId="56FBC0BD" w14:textId="77777777" w:rsidR="00A50EA6" w:rsidRPr="0091407B" w:rsidRDefault="00A50EA6" w:rsidP="00A50EA6">
      <w:pPr>
        <w:widowControl w:val="0"/>
        <w:ind w:firstLine="697"/>
        <w:jc w:val="both"/>
        <w:rPr>
          <w:rFonts w:ascii="Verdana" w:hAnsi="Verdana"/>
          <w:sz w:val="20"/>
          <w:lang w:val="ca-ES"/>
        </w:rPr>
      </w:pPr>
    </w:p>
    <w:p w14:paraId="131DFD70" w14:textId="77777777" w:rsidR="00A50EA6" w:rsidRPr="0091407B" w:rsidRDefault="00A50EA6" w:rsidP="00A50EA6">
      <w:pPr>
        <w:widowControl w:val="0"/>
        <w:jc w:val="both"/>
        <w:rPr>
          <w:rFonts w:ascii="Verdana" w:hAnsi="Verdana"/>
          <w:sz w:val="20"/>
          <w:lang w:val="ca-ES"/>
        </w:rPr>
      </w:pPr>
      <w:r w:rsidRPr="0091407B">
        <w:rPr>
          <w:rFonts w:ascii="Verdana" w:hAnsi="Verdana"/>
          <w:b/>
          <w:sz w:val="20"/>
          <w:lang w:val="ca-ES"/>
        </w:rPr>
        <w:t>CINQUÈ.</w:t>
      </w:r>
      <w:r w:rsidRPr="0091407B">
        <w:rPr>
          <w:rFonts w:ascii="Verdana" w:hAnsi="Verdana"/>
          <w:sz w:val="20"/>
          <w:lang w:val="ca-ES"/>
        </w:rPr>
        <w:t xml:space="preserve"> Cal tenir en compte que l'article 53.1 de la Llei 40/2015, d'1 d'octubre, de Règim Jurídic  del Sector Públic, estableix expressament l'obligació de les entitats del Sector Públic de remetre electrònicament al Tribunal de Comptes o òrgan extern de fiscalització de la comunitat autònoma, segons correspongui, aquells convenis els compromisos econòmics dels quals assumits superin els 600.000 euros, així com la de comunicar les modificacions, pròrrogues o variacions de terminis, alteració dels imports dels compromisos econòmics assumits i l'extinció dels convenis indicats.</w:t>
      </w:r>
    </w:p>
    <w:p w14:paraId="00905EF3" w14:textId="77777777" w:rsidR="00A50EA6" w:rsidRPr="0091407B" w:rsidRDefault="00A50EA6" w:rsidP="00A50EA6">
      <w:pPr>
        <w:widowControl w:val="0"/>
        <w:ind w:firstLine="697"/>
        <w:jc w:val="both"/>
        <w:rPr>
          <w:rFonts w:ascii="Verdana" w:hAnsi="Verdana"/>
          <w:sz w:val="20"/>
          <w:lang w:val="ca-ES"/>
        </w:rPr>
      </w:pPr>
    </w:p>
    <w:p w14:paraId="3D9738AA" w14:textId="77777777" w:rsidR="00A50EA6" w:rsidRPr="0091407B" w:rsidRDefault="00A50EA6" w:rsidP="00A50EA6">
      <w:pPr>
        <w:widowControl w:val="0"/>
        <w:jc w:val="both"/>
        <w:rPr>
          <w:rFonts w:ascii="Verdana" w:hAnsi="Verdana"/>
          <w:sz w:val="20"/>
          <w:lang w:val="ca-ES"/>
        </w:rPr>
      </w:pPr>
      <w:r w:rsidRPr="0091407B">
        <w:rPr>
          <w:rFonts w:ascii="Verdana" w:hAnsi="Verdana"/>
          <w:sz w:val="20"/>
          <w:lang w:val="ca-ES"/>
        </w:rPr>
        <w:t xml:space="preserve">Així </w:t>
      </w:r>
      <w:r w:rsidRPr="00682E1D">
        <w:rPr>
          <w:rFonts w:ascii="Verdana" w:hAnsi="Verdana"/>
          <w:sz w:val="20"/>
          <w:lang w:val="ca-ES"/>
        </w:rPr>
        <w:t>mateix, la Instrucció relativa a la remissió telemàtica al Tribunal de Comptes de convenis i de relacions anuals dels celebrats per les entitats del sector públic local</w:t>
      </w:r>
      <w:r w:rsidRPr="0091407B">
        <w:rPr>
          <w:rFonts w:ascii="Verdana" w:hAnsi="Verdana"/>
          <w:sz w:val="20"/>
          <w:lang w:val="ca-ES"/>
        </w:rPr>
        <w:t>, aprovada per Acord del Ple de 24 de novembre de 2016, publicat per Resolució de 2 de desembre de 2016, de la Presidència del Tribunal de Comptes, concreta la informació, documentació, procediment i mitjà per dur a terme la remissió electrònica  dels convenis inclosos en el citat article 53.1 que s'haguessin formalitzat a partir del 2 d'octubre de 2016, remissió que tindrà lloc, en tot cas, a partir del 15 de gener de 2017.</w:t>
      </w:r>
    </w:p>
    <w:p w14:paraId="6D65A7ED" w14:textId="77777777" w:rsidR="00A50EA6" w:rsidRPr="0091407B" w:rsidRDefault="00A50EA6" w:rsidP="00A50EA6">
      <w:pPr>
        <w:widowControl w:val="0"/>
        <w:ind w:firstLine="709"/>
        <w:jc w:val="both"/>
        <w:rPr>
          <w:rFonts w:ascii="Verdana" w:hAnsi="Verdana"/>
          <w:b/>
          <w:sz w:val="20"/>
          <w:lang w:val="ca-ES"/>
        </w:rPr>
      </w:pPr>
    </w:p>
    <w:p w14:paraId="6FE8100D" w14:textId="77777777" w:rsidR="00A50EA6" w:rsidRPr="0091407B" w:rsidRDefault="00A50EA6" w:rsidP="00A50EA6">
      <w:pPr>
        <w:widowControl w:val="0"/>
        <w:jc w:val="both"/>
        <w:rPr>
          <w:rFonts w:ascii="Verdana" w:hAnsi="Verdana"/>
          <w:sz w:val="20"/>
          <w:lang w:val="ca-ES"/>
        </w:rPr>
      </w:pPr>
      <w:r w:rsidRPr="0091407B">
        <w:rPr>
          <w:rFonts w:ascii="Verdana" w:hAnsi="Verdana"/>
          <w:b/>
          <w:sz w:val="20"/>
          <w:lang w:val="ca-ES"/>
        </w:rPr>
        <w:t>SISÈ.</w:t>
      </w:r>
      <w:r w:rsidRPr="0091407B">
        <w:rPr>
          <w:rFonts w:ascii="Verdana" w:hAnsi="Verdana"/>
          <w:sz w:val="20"/>
          <w:lang w:val="ca-ES"/>
        </w:rPr>
        <w:t xml:space="preserve"> De conformitat amb l'article 8.1.b) de la Llei 19/2013, de 9 de desembre, de transparència, accés a la informació pública i bon govern, l'Ajuntament haurà de </w:t>
      </w:r>
      <w:r w:rsidRPr="0091407B">
        <w:rPr>
          <w:rFonts w:ascii="Verdana" w:hAnsi="Verdana"/>
          <w:b/>
          <w:sz w:val="20"/>
          <w:lang w:val="ca-ES"/>
        </w:rPr>
        <w:t>fer pública la relació dels convenis subscrits que tinguin repercussió econòmica o pressupostària</w:t>
      </w:r>
      <w:r w:rsidRPr="0091407B">
        <w:rPr>
          <w:rFonts w:ascii="Verdana" w:hAnsi="Verdana"/>
          <w:sz w:val="20"/>
          <w:lang w:val="ca-ES"/>
        </w:rPr>
        <w:t>, amb esment de les parts signatàries, el seu objecte, termini de durada, modificacions realitzades, obligats a la realització de les prestacions i, si escau, les obligacions econòmiques convingudes.</w:t>
      </w:r>
    </w:p>
    <w:p w14:paraId="34BCC4B9" w14:textId="77777777" w:rsidR="00A50EA6" w:rsidRPr="0091407B" w:rsidRDefault="00A50EA6" w:rsidP="00A50EA6">
      <w:pPr>
        <w:tabs>
          <w:tab w:val="left" w:pos="709"/>
        </w:tabs>
        <w:ind w:firstLine="709"/>
        <w:jc w:val="both"/>
        <w:rPr>
          <w:rFonts w:ascii="Verdana" w:hAnsi="Verdana"/>
          <w:sz w:val="20"/>
          <w:lang w:val="ca-ES"/>
        </w:rPr>
      </w:pPr>
    </w:p>
    <w:p w14:paraId="48D3CCBE" w14:textId="77777777" w:rsidR="00A50EA6" w:rsidRPr="0091407B" w:rsidRDefault="00A50EA6" w:rsidP="00A50EA6">
      <w:pPr>
        <w:widowControl w:val="0"/>
        <w:jc w:val="both"/>
        <w:rPr>
          <w:rFonts w:ascii="Verdana" w:hAnsi="Verdana"/>
          <w:sz w:val="20"/>
          <w:lang w:val="ca-ES"/>
        </w:rPr>
      </w:pPr>
      <w:r w:rsidRPr="0091407B">
        <w:rPr>
          <w:rFonts w:ascii="Verdana" w:hAnsi="Verdana"/>
          <w:b/>
          <w:sz w:val="20"/>
          <w:lang w:val="ca-ES"/>
        </w:rPr>
        <w:t>SETÈ.</w:t>
      </w:r>
      <w:r w:rsidRPr="0091407B">
        <w:rPr>
          <w:rFonts w:ascii="Verdana" w:hAnsi="Verdana"/>
          <w:sz w:val="20"/>
          <w:lang w:val="ca-ES"/>
        </w:rPr>
        <w:t xml:space="preserve"> Durant tot el procés d'aprovació del Conveni urbanístic, haurà de complir-se amb les exigències de publicitat activa en virtut del que es disposa en l'article 21.4 de la Llei 39/2015, d'1 d'octubre, del Procediment Administratiu Comú de les Administracions Públiques, i en la normativa vigent en matèria de transparència.</w:t>
      </w:r>
    </w:p>
    <w:p w14:paraId="00625F35" w14:textId="77777777" w:rsidR="00A50EA6" w:rsidRPr="0091407B" w:rsidRDefault="00A50EA6" w:rsidP="00A50EA6">
      <w:pPr>
        <w:widowControl w:val="0"/>
        <w:ind w:firstLine="697"/>
        <w:jc w:val="both"/>
        <w:rPr>
          <w:rFonts w:ascii="Verdana" w:hAnsi="Verdana"/>
          <w:sz w:val="20"/>
          <w:lang w:val="ca-ES"/>
        </w:rPr>
      </w:pPr>
    </w:p>
    <w:p w14:paraId="58EB20FC" w14:textId="77777777" w:rsidR="00A50EA6" w:rsidRPr="0091407B" w:rsidRDefault="00A50EA6" w:rsidP="00A50EA6">
      <w:pPr>
        <w:widowControl w:val="0"/>
        <w:jc w:val="both"/>
        <w:rPr>
          <w:rFonts w:ascii="Verdana" w:hAnsi="Verdana"/>
          <w:sz w:val="20"/>
          <w:lang w:val="ca-ES"/>
        </w:rPr>
      </w:pPr>
      <w:r w:rsidRPr="0091407B">
        <w:rPr>
          <w:rFonts w:ascii="Verdana" w:hAnsi="Verdana"/>
          <w:b/>
          <w:sz w:val="20"/>
          <w:lang w:val="ca-ES"/>
        </w:rPr>
        <w:t>VUITÈ.</w:t>
      </w:r>
      <w:r w:rsidRPr="0091407B">
        <w:rPr>
          <w:rFonts w:ascii="Verdana" w:hAnsi="Verdana"/>
          <w:sz w:val="20"/>
          <w:lang w:val="ca-ES"/>
        </w:rPr>
        <w:t xml:space="preserve"> El procediment a seguir és el següent:</w:t>
      </w:r>
    </w:p>
    <w:p w14:paraId="4F5D4E3F" w14:textId="77777777" w:rsidR="00A50EA6" w:rsidRPr="0091407B" w:rsidRDefault="00A50EA6" w:rsidP="00A50EA6">
      <w:pPr>
        <w:widowControl w:val="0"/>
        <w:ind w:firstLine="697"/>
        <w:jc w:val="both"/>
        <w:rPr>
          <w:rFonts w:ascii="Verdana" w:hAnsi="Verdana"/>
          <w:sz w:val="20"/>
          <w:highlight w:val="cyan"/>
          <w:lang w:val="ca-ES"/>
        </w:rPr>
      </w:pPr>
    </w:p>
    <w:p w14:paraId="498FA1ED" w14:textId="4002F1D2" w:rsidR="00A50EA6" w:rsidRPr="0091407B" w:rsidRDefault="00A50EA6" w:rsidP="00A50EA6">
      <w:pPr>
        <w:widowControl w:val="0"/>
        <w:jc w:val="both"/>
        <w:rPr>
          <w:rFonts w:ascii="Verdana" w:hAnsi="Verdana"/>
          <w:iCs/>
          <w:sz w:val="20"/>
          <w:lang w:val="ca-ES"/>
        </w:rPr>
      </w:pPr>
      <w:r w:rsidRPr="00A50EA6">
        <w:rPr>
          <w:rFonts w:ascii="Verdana" w:hAnsi="Verdana"/>
          <w:b/>
          <w:sz w:val="20"/>
          <w:lang w:val="ca-ES"/>
        </w:rPr>
        <w:t>A.</w:t>
      </w:r>
      <w:r w:rsidRPr="00A50EA6">
        <w:rPr>
          <w:rFonts w:ascii="Verdana" w:hAnsi="Verdana"/>
          <w:sz w:val="20"/>
          <w:lang w:val="ca-ES"/>
        </w:rPr>
        <w:t xml:space="preserve"> </w:t>
      </w:r>
      <w:bookmarkStart w:id="1" w:name="_Hlk37756232"/>
      <w:r w:rsidRPr="00A50EA6">
        <w:rPr>
          <w:rFonts w:ascii="Verdana" w:hAnsi="Verdana"/>
          <w:sz w:val="20"/>
          <w:lang w:val="ca-ES"/>
        </w:rPr>
        <w:t xml:space="preserve">Una vegada negociat i subscrit, el text inicial del conveni urbanístic se sotmetrà a informació pública per un període mínim de vint dies, mitjançant anunci publicat en </w:t>
      </w:r>
      <w:r w:rsidRPr="00A50EA6">
        <w:rPr>
          <w:rFonts w:ascii="Verdana" w:hAnsi="Verdana"/>
          <w:i/>
          <w:sz w:val="20"/>
          <w:lang w:val="ca-ES"/>
        </w:rPr>
        <w:t>el Butlletí Oficial de la Província</w:t>
      </w:r>
      <w:r w:rsidRPr="00A50EA6">
        <w:rPr>
          <w:rFonts w:ascii="Verdana" w:hAnsi="Verdana"/>
          <w:iCs/>
          <w:sz w:val="20"/>
          <w:lang w:val="ca-ES"/>
        </w:rPr>
        <w:t xml:space="preserve"> i en el tauler d'anuncis de l'Ajuntament</w:t>
      </w:r>
      <w:r w:rsidRPr="0091407B">
        <w:rPr>
          <w:rFonts w:ascii="Verdana" w:hAnsi="Verdana"/>
          <w:iCs/>
          <w:sz w:val="20"/>
          <w:lang w:val="ca-ES"/>
        </w:rPr>
        <w:t>, a l'efecte de que es produeixin les al·legacions que s'estimin pertinents</w:t>
      </w:r>
      <w:r>
        <w:rPr>
          <w:rFonts w:ascii="Verdana" w:hAnsi="Verdana"/>
          <w:iCs/>
          <w:sz w:val="20"/>
          <w:lang w:val="ca-ES"/>
        </w:rPr>
        <w:t>, en compliment de l’article 25.1 del Text Refós de la Llei del Sòl i Rehabilitació Urbana (RDL 7/2015), i l’article 8.5.c del Text Refós de la Llei d’Urbanisme (DL 1/2010).</w:t>
      </w:r>
    </w:p>
    <w:bookmarkEnd w:id="1"/>
    <w:p w14:paraId="702C87B3" w14:textId="77777777" w:rsidR="00A50EA6" w:rsidRPr="0091407B" w:rsidRDefault="00A50EA6" w:rsidP="00A50EA6">
      <w:pPr>
        <w:widowControl w:val="0"/>
        <w:jc w:val="both"/>
        <w:rPr>
          <w:rFonts w:ascii="Verdana" w:hAnsi="Verdana"/>
          <w:sz w:val="20"/>
          <w:lang w:val="ca-ES"/>
        </w:rPr>
      </w:pPr>
    </w:p>
    <w:p w14:paraId="775EDCE1" w14:textId="77777777" w:rsidR="00A50EA6" w:rsidRPr="0091407B" w:rsidRDefault="00A50EA6" w:rsidP="00A50EA6">
      <w:pPr>
        <w:widowControl w:val="0"/>
        <w:jc w:val="both"/>
        <w:rPr>
          <w:rFonts w:ascii="Verdana" w:hAnsi="Verdana"/>
          <w:sz w:val="20"/>
          <w:lang w:val="ca-ES"/>
        </w:rPr>
      </w:pPr>
      <w:r w:rsidRPr="0091407B">
        <w:rPr>
          <w:rFonts w:ascii="Verdana" w:hAnsi="Verdana"/>
          <w:sz w:val="20"/>
          <w:lang w:val="ca-ES"/>
        </w:rPr>
        <w:t xml:space="preserve">Així mateix, estarà a la disposició dels interessats a la seu electrònica d'aquest Ajuntament </w:t>
      </w:r>
      <w:r w:rsidRPr="0091407B">
        <w:rPr>
          <w:rFonts w:ascii="Verdana" w:hAnsi="Verdana"/>
          <w:i/>
          <w:sz w:val="18"/>
          <w:lang w:val="ca-ES"/>
        </w:rPr>
        <w:t>[adreça: https://_______________]</w:t>
      </w:r>
      <w:r w:rsidRPr="0091407B">
        <w:rPr>
          <w:rFonts w:ascii="Verdana" w:hAnsi="Verdana"/>
          <w:sz w:val="20"/>
          <w:lang w:val="ca-ES"/>
        </w:rPr>
        <w:t>.</w:t>
      </w:r>
    </w:p>
    <w:p w14:paraId="0D4C9183" w14:textId="77777777" w:rsidR="00A50EA6" w:rsidRPr="0091407B" w:rsidRDefault="00A50EA6" w:rsidP="00A50EA6">
      <w:pPr>
        <w:widowControl w:val="0"/>
        <w:ind w:firstLine="697"/>
        <w:jc w:val="both"/>
        <w:rPr>
          <w:rFonts w:ascii="Verdana" w:hAnsi="Verdana"/>
          <w:sz w:val="20"/>
          <w:lang w:val="ca-ES"/>
        </w:rPr>
      </w:pPr>
    </w:p>
    <w:p w14:paraId="4D77061C" w14:textId="77777777" w:rsidR="00A50EA6" w:rsidRPr="0091407B" w:rsidRDefault="00A50EA6" w:rsidP="00A50EA6">
      <w:pPr>
        <w:widowControl w:val="0"/>
        <w:jc w:val="both"/>
        <w:rPr>
          <w:rFonts w:ascii="Verdana" w:hAnsi="Verdana"/>
          <w:sz w:val="20"/>
          <w:lang w:val="ca-ES"/>
        </w:rPr>
      </w:pPr>
      <w:r w:rsidRPr="0091407B">
        <w:rPr>
          <w:rFonts w:ascii="Verdana" w:hAnsi="Verdana"/>
          <w:b/>
          <w:sz w:val="20"/>
          <w:lang w:val="ca-ES"/>
        </w:rPr>
        <w:t>B.</w:t>
      </w:r>
      <w:r w:rsidRPr="0091407B">
        <w:rPr>
          <w:rFonts w:ascii="Verdana" w:hAnsi="Verdana"/>
          <w:sz w:val="20"/>
          <w:lang w:val="ca-ES"/>
        </w:rPr>
        <w:t xml:space="preserve"> Després de la informació pública, l'òrgan que hagués negociat el conveni haurà de, a la vista de les al·legacions, elaborar una proposta de text definitiu d'aquest, de la qual es donarà vista a la persona o les persones que haguessin negociat i subscrit el text inicial per a la seva acceptació, la formulació d'objeccions o, si escau, renúncia, en un termini d'entre deu i quinze dies, de conformitat amb l'article 82 de la Llei 39/2015, d'1 d'octubre, del Procediment Administratiu Comú de les Administracions Públiques.</w:t>
      </w:r>
    </w:p>
    <w:p w14:paraId="6A3250DD" w14:textId="77777777" w:rsidR="00A50EA6" w:rsidRPr="0091407B" w:rsidRDefault="00A50EA6" w:rsidP="00A50EA6">
      <w:pPr>
        <w:widowControl w:val="0"/>
        <w:ind w:firstLine="697"/>
        <w:jc w:val="both"/>
        <w:rPr>
          <w:rFonts w:ascii="Verdana" w:hAnsi="Verdana"/>
          <w:sz w:val="20"/>
          <w:lang w:val="ca-ES"/>
        </w:rPr>
      </w:pPr>
    </w:p>
    <w:p w14:paraId="27550F52" w14:textId="77777777" w:rsidR="00A50EA6" w:rsidRPr="0091407B" w:rsidRDefault="00A50EA6" w:rsidP="00A50EA6">
      <w:pPr>
        <w:widowControl w:val="0"/>
        <w:jc w:val="both"/>
        <w:rPr>
          <w:rFonts w:ascii="Verdana" w:hAnsi="Verdana"/>
          <w:sz w:val="20"/>
          <w:lang w:val="ca-ES"/>
        </w:rPr>
      </w:pPr>
      <w:r w:rsidRPr="0091407B">
        <w:rPr>
          <w:rFonts w:ascii="Verdana" w:hAnsi="Verdana"/>
          <w:b/>
          <w:bCs/>
          <w:sz w:val="20"/>
          <w:lang w:val="ca-ES"/>
        </w:rPr>
        <w:t>C.</w:t>
      </w:r>
      <w:r w:rsidRPr="0091407B">
        <w:rPr>
          <w:rFonts w:ascii="Verdana" w:hAnsi="Verdana"/>
          <w:sz w:val="20"/>
          <w:lang w:val="ca-ES"/>
        </w:rPr>
        <w:t xml:space="preserve"> Conclòs el tràmit assenyalat en el paràgraf anterior, el conveni urbanístic serà aprovat per l'òrgan competent, en virtut dels articles 21.1.j) i 22.2.c) de la Llei 7/1985, de 2 d'abril, reguladora de les Bases del Règim Local.</w:t>
      </w:r>
    </w:p>
    <w:p w14:paraId="1592FA8B" w14:textId="77777777" w:rsidR="00A50EA6" w:rsidRPr="0091407B" w:rsidRDefault="00A50EA6" w:rsidP="00A50EA6">
      <w:pPr>
        <w:jc w:val="both"/>
        <w:rPr>
          <w:rFonts w:ascii="Verdana" w:hAnsi="Verdana"/>
          <w:sz w:val="20"/>
          <w:lang w:val="ca-ES"/>
        </w:rPr>
      </w:pPr>
    </w:p>
    <w:p w14:paraId="42A25D6B" w14:textId="1E57D881" w:rsidR="00A50EA6" w:rsidRPr="0091407B" w:rsidRDefault="00A50EA6" w:rsidP="00A50EA6">
      <w:pPr>
        <w:widowControl w:val="0"/>
        <w:jc w:val="both"/>
        <w:rPr>
          <w:rFonts w:ascii="Verdana" w:hAnsi="Verdana"/>
          <w:sz w:val="20"/>
          <w:lang w:val="ca-ES"/>
        </w:rPr>
      </w:pPr>
      <w:r w:rsidRPr="0091407B">
        <w:rPr>
          <w:rFonts w:ascii="Verdana" w:hAnsi="Verdana"/>
          <w:b/>
          <w:sz w:val="20"/>
          <w:lang w:val="ca-ES"/>
        </w:rPr>
        <w:t>D.</w:t>
      </w:r>
      <w:r w:rsidRPr="0091407B">
        <w:rPr>
          <w:rFonts w:ascii="Verdana" w:hAnsi="Verdana"/>
          <w:sz w:val="20"/>
          <w:lang w:val="ca-ES"/>
        </w:rPr>
        <w:t xml:space="preserve"> Una vegada aprovat pel Ple</w:t>
      </w:r>
      <w:r w:rsidR="005B199C">
        <w:rPr>
          <w:rFonts w:ascii="Verdana" w:hAnsi="Verdana"/>
          <w:sz w:val="20"/>
          <w:lang w:val="ca-ES"/>
        </w:rPr>
        <w:t xml:space="preserve"> </w:t>
      </w:r>
      <w:r w:rsidR="005B199C" w:rsidRPr="005B199C">
        <w:rPr>
          <w:rFonts w:ascii="Verdana" w:hAnsi="Verdana"/>
          <w:i/>
          <w:iCs/>
          <w:sz w:val="20"/>
          <w:lang w:val="ca-ES"/>
        </w:rPr>
        <w:t>(o Resolució d’Alcaldia)</w:t>
      </w:r>
      <w:r w:rsidRPr="0091407B">
        <w:rPr>
          <w:rFonts w:ascii="Verdana" w:hAnsi="Verdana"/>
          <w:sz w:val="20"/>
          <w:lang w:val="ca-ES"/>
        </w:rPr>
        <w:t xml:space="preserve"> el conveni urbanístic, es notificarà a l'interessat perquè es personi en les dependències municipals per signar el text definitiu del conveni referenciat.</w:t>
      </w:r>
    </w:p>
    <w:p w14:paraId="69E6B12D" w14:textId="77777777" w:rsidR="00A50EA6" w:rsidRPr="0091407B" w:rsidRDefault="00A50EA6" w:rsidP="00A50EA6">
      <w:pPr>
        <w:widowControl w:val="0"/>
        <w:ind w:firstLine="697"/>
        <w:jc w:val="both"/>
        <w:rPr>
          <w:rFonts w:ascii="Verdana" w:hAnsi="Verdana"/>
          <w:sz w:val="20"/>
          <w:lang w:val="ca-ES"/>
        </w:rPr>
      </w:pPr>
    </w:p>
    <w:p w14:paraId="52280D59" w14:textId="77777777" w:rsidR="00A50EA6" w:rsidRPr="00A50EA6" w:rsidRDefault="00A50EA6" w:rsidP="00A50EA6">
      <w:pPr>
        <w:jc w:val="both"/>
        <w:rPr>
          <w:rFonts w:ascii="Verdana" w:hAnsi="Verdana"/>
          <w:sz w:val="20"/>
          <w:lang w:val="ca-ES"/>
        </w:rPr>
      </w:pPr>
      <w:r w:rsidRPr="00A50EA6">
        <w:rPr>
          <w:rFonts w:ascii="Verdana" w:hAnsi="Verdana"/>
          <w:sz w:val="20"/>
          <w:lang w:val="ca-ES"/>
        </w:rPr>
        <w:t>Els convenis es perfeccionen per la prestació del consentiment entre les parts.</w:t>
      </w:r>
    </w:p>
    <w:p w14:paraId="6594EECA" w14:textId="77777777" w:rsidR="00A50EA6" w:rsidRPr="00A50EA6" w:rsidRDefault="00A50EA6" w:rsidP="00A50EA6">
      <w:pPr>
        <w:widowControl w:val="0"/>
        <w:ind w:firstLine="697"/>
        <w:jc w:val="both"/>
        <w:rPr>
          <w:rFonts w:ascii="Verdana" w:hAnsi="Verdana"/>
          <w:color w:val="000000"/>
          <w:sz w:val="20"/>
          <w:lang w:val="ca-ES"/>
        </w:rPr>
      </w:pPr>
      <w:bookmarkStart w:id="2" w:name="_Hlk37762681"/>
    </w:p>
    <w:p w14:paraId="1D99A4F6" w14:textId="77777777" w:rsidR="00A50EA6" w:rsidRPr="0091407B" w:rsidRDefault="00A50EA6" w:rsidP="00A50EA6">
      <w:pPr>
        <w:widowControl w:val="0"/>
        <w:jc w:val="both"/>
        <w:rPr>
          <w:rFonts w:ascii="Verdana" w:hAnsi="Verdana"/>
          <w:sz w:val="20"/>
          <w:lang w:val="ca-ES"/>
        </w:rPr>
      </w:pPr>
      <w:bookmarkStart w:id="3" w:name="_Hlk38278809"/>
      <w:r w:rsidRPr="00A50EA6">
        <w:rPr>
          <w:rFonts w:ascii="Verdana" w:hAnsi="Verdana"/>
          <w:b/>
          <w:sz w:val="20"/>
          <w:lang w:val="ca-ES"/>
        </w:rPr>
        <w:t xml:space="preserve">E. </w:t>
      </w:r>
      <w:r w:rsidRPr="00A50EA6">
        <w:rPr>
          <w:rFonts w:ascii="Verdana" w:hAnsi="Verdana"/>
          <w:sz w:val="20"/>
          <w:lang w:val="ca-ES"/>
        </w:rPr>
        <w:t>L'Ajuntament enviarà una còpia del conveni al Departament de Política Territorial i Obres Públiques en el termini d'un mes des de la seva aprovació, perquè sigui inserit en la secció de convenis urbanístics de l'instrument de divulgació telemàtica del planejament urbanístic de l'Administració de la Generalitat.</w:t>
      </w:r>
    </w:p>
    <w:p w14:paraId="4556784B" w14:textId="77777777" w:rsidR="00A50EA6" w:rsidRPr="0091407B" w:rsidRDefault="00A50EA6" w:rsidP="00A50EA6">
      <w:pPr>
        <w:widowControl w:val="0"/>
        <w:jc w:val="both"/>
        <w:rPr>
          <w:rFonts w:ascii="Verdana" w:hAnsi="Verdana"/>
          <w:color w:val="000000"/>
          <w:sz w:val="20"/>
          <w:lang w:val="ca-ES"/>
        </w:rPr>
      </w:pPr>
    </w:p>
    <w:p w14:paraId="2151BCB9" w14:textId="77777777" w:rsidR="00A50EA6" w:rsidRPr="00A50EA6" w:rsidRDefault="00A50EA6" w:rsidP="00A50EA6">
      <w:pPr>
        <w:widowControl w:val="0"/>
        <w:jc w:val="both"/>
        <w:rPr>
          <w:rFonts w:ascii="Verdana" w:hAnsi="Verdana"/>
          <w:sz w:val="20"/>
          <w:lang w:val="ca-ES"/>
        </w:rPr>
      </w:pPr>
      <w:r w:rsidRPr="00A50EA6">
        <w:rPr>
          <w:rFonts w:ascii="Verdana" w:hAnsi="Verdana"/>
          <w:b/>
          <w:sz w:val="20"/>
          <w:lang w:val="ca-ES"/>
        </w:rPr>
        <w:t>F.</w:t>
      </w:r>
      <w:r w:rsidRPr="00A50EA6">
        <w:rPr>
          <w:rFonts w:ascii="Verdana" w:hAnsi="Verdana"/>
          <w:sz w:val="20"/>
          <w:lang w:val="ca-ES"/>
        </w:rPr>
        <w:t xml:space="preserve"> El contingut del conveni haurà de ser inscrit en el Registre de la Propietat en els termes previstos en la legislació hipotecària, i sempre que els compromisos adquirits fossin susceptibles d'inscripció registral de conformitat amb el Reial decret 1093/1997, de 4 de juliol, pel qual s'aproven les normes complementàries al Reglament per a l'execució de la Llei Hipotecària sobre la inscripció en el Registre de la Propietat d'actes de naturalesa urbanística.</w:t>
      </w:r>
    </w:p>
    <w:p w14:paraId="57C1D920" w14:textId="77777777" w:rsidR="00A50EA6" w:rsidRPr="00A50EA6" w:rsidRDefault="00A50EA6" w:rsidP="00A50EA6">
      <w:pPr>
        <w:widowControl w:val="0"/>
        <w:ind w:firstLine="697"/>
        <w:jc w:val="both"/>
        <w:rPr>
          <w:rFonts w:ascii="Verdana" w:hAnsi="Verdana"/>
          <w:color w:val="000000"/>
          <w:sz w:val="20"/>
          <w:lang w:val="ca-ES"/>
        </w:rPr>
      </w:pPr>
    </w:p>
    <w:p w14:paraId="42B38B40" w14:textId="77777777" w:rsidR="00A50EA6" w:rsidRPr="0091407B" w:rsidRDefault="00A50EA6" w:rsidP="00A50EA6">
      <w:pPr>
        <w:widowControl w:val="0"/>
        <w:jc w:val="both"/>
        <w:rPr>
          <w:rFonts w:ascii="Verdana" w:hAnsi="Verdana"/>
          <w:color w:val="000000"/>
          <w:sz w:val="20"/>
          <w:lang w:val="ca-ES"/>
        </w:rPr>
      </w:pPr>
      <w:r w:rsidRPr="00A50EA6">
        <w:rPr>
          <w:rFonts w:ascii="Verdana" w:hAnsi="Verdana"/>
          <w:b/>
          <w:bCs/>
          <w:color w:val="000000"/>
          <w:sz w:val="20"/>
          <w:lang w:val="ca-ES"/>
        </w:rPr>
        <w:t>G.</w:t>
      </w:r>
      <w:r w:rsidRPr="00A50EA6">
        <w:rPr>
          <w:rFonts w:ascii="Verdana" w:hAnsi="Verdana"/>
          <w:color w:val="000000"/>
          <w:sz w:val="20"/>
          <w:lang w:val="ca-ES"/>
        </w:rPr>
        <w:t xml:space="preserve"> L'acord d'aprovació dels convenis urbanístics serà publicat en </w:t>
      </w:r>
      <w:r w:rsidRPr="00A50EA6">
        <w:rPr>
          <w:rFonts w:ascii="Verdana" w:hAnsi="Verdana"/>
          <w:i/>
          <w:color w:val="000000"/>
          <w:sz w:val="20"/>
          <w:lang w:val="ca-ES"/>
        </w:rPr>
        <w:t>el Butlletí Oficial de la Província</w:t>
      </w:r>
      <w:r w:rsidRPr="00A50EA6">
        <w:rPr>
          <w:rFonts w:ascii="Verdana" w:hAnsi="Verdana"/>
          <w:color w:val="000000"/>
          <w:sz w:val="20"/>
          <w:lang w:val="ca-ES"/>
        </w:rPr>
        <w:t xml:space="preserve"> dins del mes següent a la seva aprovació.</w:t>
      </w:r>
    </w:p>
    <w:bookmarkEnd w:id="2"/>
    <w:bookmarkEnd w:id="3"/>
    <w:p w14:paraId="4236C56B" w14:textId="77777777" w:rsidR="00A50EA6" w:rsidRPr="0091407B" w:rsidRDefault="00A50EA6" w:rsidP="00A50EA6">
      <w:pPr>
        <w:widowControl w:val="0"/>
        <w:jc w:val="both"/>
        <w:rPr>
          <w:rFonts w:ascii="Verdana" w:hAnsi="Verdana"/>
          <w:caps/>
          <w:color w:val="000000"/>
          <w:sz w:val="20"/>
          <w:lang w:val="ca-ES"/>
        </w:rPr>
      </w:pPr>
    </w:p>
    <w:p w14:paraId="4A407D60" w14:textId="4B33F5B9" w:rsidR="00A50EA6" w:rsidRPr="0091407B" w:rsidRDefault="00A50EA6" w:rsidP="00A50EA6">
      <w:pPr>
        <w:widowControl w:val="0"/>
        <w:jc w:val="both"/>
        <w:rPr>
          <w:rFonts w:ascii="Verdana" w:hAnsi="Verdana"/>
          <w:color w:val="000000"/>
          <w:sz w:val="20"/>
          <w:lang w:val="ca-ES"/>
        </w:rPr>
      </w:pPr>
      <w:r w:rsidRPr="0091407B">
        <w:rPr>
          <w:rFonts w:ascii="Verdana" w:hAnsi="Verdana"/>
          <w:b/>
          <w:bCs/>
          <w:color w:val="000000"/>
          <w:sz w:val="20"/>
          <w:lang w:val="ca-ES"/>
        </w:rPr>
        <w:t>H.</w:t>
      </w:r>
      <w:r w:rsidRPr="0091407B">
        <w:rPr>
          <w:rFonts w:ascii="Verdana" w:hAnsi="Verdana"/>
          <w:color w:val="000000"/>
          <w:sz w:val="20"/>
          <w:lang w:val="ca-ES"/>
        </w:rPr>
        <w:t xml:space="preserve"> S'anotarà i custodiarà un exemplar complet del text definitiu del Conveni urbanístic i de tota la seva documentació annexa en l'arxiu administratiu municipal.</w:t>
      </w:r>
    </w:p>
    <w:p w14:paraId="2716AE1C" w14:textId="77777777" w:rsidR="00A50EA6" w:rsidRPr="0091407B" w:rsidRDefault="00A50EA6" w:rsidP="00A50EA6">
      <w:pPr>
        <w:widowControl w:val="0"/>
        <w:ind w:firstLine="697"/>
        <w:jc w:val="both"/>
        <w:rPr>
          <w:rFonts w:ascii="Verdana" w:hAnsi="Verdana"/>
          <w:color w:val="000000"/>
          <w:sz w:val="20"/>
          <w:lang w:val="ca-ES"/>
        </w:rPr>
      </w:pPr>
    </w:p>
    <w:p w14:paraId="344C1850" w14:textId="77777777" w:rsidR="00A50EA6" w:rsidRPr="0091407B" w:rsidRDefault="00A50EA6" w:rsidP="00A50EA6">
      <w:pPr>
        <w:widowControl w:val="0"/>
        <w:ind w:firstLine="697"/>
        <w:jc w:val="both"/>
        <w:rPr>
          <w:rFonts w:ascii="Verdana" w:hAnsi="Verdana"/>
          <w:color w:val="000000"/>
          <w:sz w:val="20"/>
          <w:lang w:val="ca-ES"/>
        </w:rPr>
      </w:pPr>
    </w:p>
    <w:p w14:paraId="1A8111BE" w14:textId="314E2E6B" w:rsidR="004500EC" w:rsidRPr="00A50EA6" w:rsidRDefault="004500EC" w:rsidP="00A50EA6">
      <w:pPr>
        <w:pStyle w:val="verdanaaaaaaaaaaaaaaaaaaaaaaaaaaaaaaaa"/>
        <w:spacing w:line="240" w:lineRule="auto"/>
        <w:ind w:firstLine="0"/>
        <w:rPr>
          <w:i/>
          <w:szCs w:val="20"/>
          <w:lang w:val="ca-ES"/>
        </w:rPr>
      </w:pPr>
    </w:p>
    <w:sectPr w:rsidR="004500EC" w:rsidRPr="00A50E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46"/>
    <w:rsid w:val="000B2011"/>
    <w:rsid w:val="000E18AC"/>
    <w:rsid w:val="002262C9"/>
    <w:rsid w:val="002C2A0C"/>
    <w:rsid w:val="003975E1"/>
    <w:rsid w:val="003B0F45"/>
    <w:rsid w:val="003C4777"/>
    <w:rsid w:val="004500EC"/>
    <w:rsid w:val="004F230F"/>
    <w:rsid w:val="005175A7"/>
    <w:rsid w:val="00562825"/>
    <w:rsid w:val="00592307"/>
    <w:rsid w:val="005B199C"/>
    <w:rsid w:val="00674860"/>
    <w:rsid w:val="00682E1D"/>
    <w:rsid w:val="006F69FE"/>
    <w:rsid w:val="00862FBE"/>
    <w:rsid w:val="008A59A5"/>
    <w:rsid w:val="009119CA"/>
    <w:rsid w:val="00922CB2"/>
    <w:rsid w:val="00A50EA6"/>
    <w:rsid w:val="00B06D33"/>
    <w:rsid w:val="00BA624A"/>
    <w:rsid w:val="00BF440D"/>
    <w:rsid w:val="00CF7C46"/>
    <w:rsid w:val="00D739B2"/>
    <w:rsid w:val="00DE04D1"/>
    <w:rsid w:val="00E338D0"/>
    <w:rsid w:val="00FB14B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B8B8"/>
  <w15:chartTrackingRefBased/>
  <w15:docId w15:val="{3F1EFA51-2EAD-41D2-ACFB-EF124C32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C46"/>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CF7C46"/>
    <w:pPr>
      <w:keepNext/>
      <w:spacing w:line="360" w:lineRule="auto"/>
      <w:ind w:firstLine="696"/>
      <w:jc w:val="center"/>
      <w:outlineLvl w:val="2"/>
    </w:pPr>
    <w:rPr>
      <w:rFonts w:ascii="Verdana" w:hAnsi="Verdana"/>
      <w:b/>
      <w:bCs/>
      <w:color w:val="333399"/>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F7C46"/>
    <w:rPr>
      <w:rFonts w:ascii="Verdana" w:eastAsia="Times New Roman" w:hAnsi="Verdana" w:cs="Times New Roman"/>
      <w:b/>
      <w:bCs/>
      <w:color w:val="333399"/>
      <w:szCs w:val="24"/>
      <w:lang w:val="es-ES" w:eastAsia="es-ES"/>
    </w:rPr>
  </w:style>
  <w:style w:type="paragraph" w:styleId="NormalWeb">
    <w:name w:val="Normal (Web)"/>
    <w:basedOn w:val="Normal"/>
    <w:semiHidden/>
    <w:rsid w:val="00CF7C46"/>
    <w:pPr>
      <w:spacing w:line="360" w:lineRule="auto"/>
      <w:ind w:left="528" w:right="71" w:firstLine="600"/>
      <w:jc w:val="both"/>
    </w:pPr>
    <w:rPr>
      <w:rFonts w:ascii="Verdana" w:hAnsi="Verdana" w:cs="Arial"/>
      <w:sz w:val="20"/>
    </w:rPr>
  </w:style>
  <w:style w:type="character" w:styleId="nfasis">
    <w:name w:val="Emphasis"/>
    <w:qFormat/>
    <w:rsid w:val="00CF7C46"/>
    <w:rPr>
      <w:i/>
      <w:iCs/>
    </w:rPr>
  </w:style>
  <w:style w:type="paragraph" w:customStyle="1" w:styleId="verdanaaaaaaaaaaaaaaaaaaaaaaaaaaaaaaaa">
    <w:name w:val="verdanaaaaaaaaaaaaaaaaaaaaaaaaaaaaaaaa"/>
    <w:basedOn w:val="Normal"/>
    <w:link w:val="verdanaaaaaaaaaaaaaaaaaaaaaaaaaaaaaaaaCar"/>
    <w:qFormat/>
    <w:rsid w:val="00CF7C46"/>
    <w:pPr>
      <w:widowControl w:val="0"/>
      <w:spacing w:line="360" w:lineRule="auto"/>
      <w:ind w:firstLine="709"/>
      <w:jc w:val="both"/>
    </w:pPr>
    <w:rPr>
      <w:rFonts w:ascii="Verdana" w:hAnsi="Verdana"/>
      <w:sz w:val="20"/>
    </w:rPr>
  </w:style>
  <w:style w:type="character" w:customStyle="1" w:styleId="verdanaaaaaaaaaaaaaaaaaaaaaaaaaaaaaaaaCar">
    <w:name w:val="verdanaaaaaaaaaaaaaaaaaaaaaaaaaaaaaaaa Car"/>
    <w:link w:val="verdanaaaaaaaaaaaaaaaaaaaaaaaaaaaaaaaa"/>
    <w:rsid w:val="00CF7C46"/>
    <w:rPr>
      <w:rFonts w:ascii="Verdana" w:eastAsia="Times New Roman" w:hAnsi="Verdana" w:cs="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5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1295</Words>
  <Characters>7125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Ignasi Prádanos Duran</dc:creator>
  <cp:keywords/>
  <dc:description/>
  <cp:lastModifiedBy>IgnasiPD</cp:lastModifiedBy>
  <cp:revision>6</cp:revision>
  <dcterms:created xsi:type="dcterms:W3CDTF">2020-04-17T09:31:00Z</dcterms:created>
  <dcterms:modified xsi:type="dcterms:W3CDTF">2020-04-20T10:45:00Z</dcterms:modified>
</cp:coreProperties>
</file>