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43EB5" w14:textId="77777777" w:rsidR="003D1378" w:rsidRPr="002B5F36" w:rsidRDefault="003D1378" w:rsidP="002B5F36">
      <w:pPr>
        <w:spacing w:line="240" w:lineRule="auto"/>
        <w:ind w:left="2124" w:firstLine="708"/>
        <w:jc w:val="both"/>
        <w:rPr>
          <w:rFonts w:ascii="Verdana" w:hAnsi="Verdana"/>
          <w:b/>
          <w:sz w:val="20"/>
          <w:szCs w:val="20"/>
          <w:u w:val="single"/>
        </w:rPr>
      </w:pPr>
      <w:r w:rsidRPr="002B5F36">
        <w:rPr>
          <w:rFonts w:ascii="Verdana" w:hAnsi="Verdana"/>
          <w:b/>
          <w:sz w:val="20"/>
          <w:szCs w:val="20"/>
          <w:u w:val="single"/>
        </w:rPr>
        <w:t>MEMÒRIA JUSTIFICATIVA</w:t>
      </w:r>
    </w:p>
    <w:p w14:paraId="25C67135" w14:textId="6506D3FE" w:rsidR="003D1378" w:rsidRDefault="003D1378" w:rsidP="003D1378">
      <w:pPr>
        <w:spacing w:line="240" w:lineRule="auto"/>
        <w:jc w:val="both"/>
        <w:rPr>
          <w:rFonts w:ascii="Verdana" w:hAnsi="Verdana"/>
          <w:sz w:val="20"/>
          <w:szCs w:val="20"/>
        </w:rPr>
      </w:pPr>
    </w:p>
    <w:p w14:paraId="6D7EBB02" w14:textId="77777777" w:rsidR="009428A6" w:rsidRDefault="009428A6" w:rsidP="009428A6">
      <w:pPr>
        <w:jc w:val="both"/>
        <w:rPr>
          <w:rFonts w:ascii="Verdana" w:hAnsi="Verdana"/>
          <w:bCs/>
          <w:sz w:val="20"/>
          <w:szCs w:val="20"/>
        </w:rPr>
      </w:pPr>
      <w:r w:rsidRPr="009428A6">
        <w:rPr>
          <w:rFonts w:ascii="Verdana" w:hAnsi="Verdana"/>
          <w:bCs/>
          <w:sz w:val="20"/>
          <w:szCs w:val="20"/>
        </w:rPr>
        <w:t xml:space="preserve">El Text Refós de la Llei d'Urbanisme, aprovat pel Decret Legislatiu 1/2010, de 3 d'agost, recull la tradicional distinció -ja consolidada per la jurisprudència-, entre dos tipus de convenis en funció del seu objecte: els </w:t>
      </w:r>
      <w:r w:rsidRPr="009428A6">
        <w:rPr>
          <w:rFonts w:ascii="Verdana" w:hAnsi="Verdana"/>
          <w:b/>
          <w:sz w:val="20"/>
          <w:szCs w:val="20"/>
        </w:rPr>
        <w:t>convenis urbanístics de gestió</w:t>
      </w:r>
      <w:r w:rsidRPr="009428A6">
        <w:rPr>
          <w:rFonts w:ascii="Verdana" w:hAnsi="Verdana"/>
          <w:bCs/>
          <w:sz w:val="20"/>
          <w:szCs w:val="20"/>
        </w:rPr>
        <w:t xml:space="preserve"> i els </w:t>
      </w:r>
      <w:r w:rsidRPr="009428A6">
        <w:rPr>
          <w:rFonts w:ascii="Verdana" w:hAnsi="Verdana"/>
          <w:b/>
          <w:sz w:val="20"/>
          <w:szCs w:val="20"/>
        </w:rPr>
        <w:t>convenis de planejament.</w:t>
      </w:r>
      <w:r w:rsidRPr="009428A6">
        <w:rPr>
          <w:rFonts w:ascii="Verdana" w:hAnsi="Verdana"/>
          <w:bCs/>
          <w:sz w:val="20"/>
          <w:szCs w:val="20"/>
        </w:rPr>
        <w:t xml:space="preserve"> </w:t>
      </w:r>
    </w:p>
    <w:p w14:paraId="563AC284" w14:textId="48D34EB1" w:rsidR="009428A6" w:rsidRPr="009428A6" w:rsidRDefault="009428A6" w:rsidP="009428A6">
      <w:pPr>
        <w:jc w:val="both"/>
        <w:rPr>
          <w:rFonts w:ascii="Verdana" w:hAnsi="Verdana"/>
          <w:bCs/>
          <w:sz w:val="20"/>
          <w:szCs w:val="20"/>
        </w:rPr>
      </w:pPr>
      <w:r w:rsidRPr="009428A6">
        <w:rPr>
          <w:rFonts w:ascii="Verdana" w:hAnsi="Verdana"/>
          <w:bCs/>
          <w:sz w:val="20"/>
          <w:szCs w:val="20"/>
        </w:rPr>
        <w:t xml:space="preserve">Aquesta distinció, pels compromisos plasmats en ells, determina el reconeixement d'una naturalesa jurídica diferent dels uns i els altres: tractant-se d'un </w:t>
      </w:r>
      <w:r w:rsidRPr="009428A6">
        <w:rPr>
          <w:rFonts w:ascii="Verdana" w:hAnsi="Verdana"/>
          <w:b/>
          <w:bCs/>
          <w:sz w:val="20"/>
          <w:szCs w:val="20"/>
        </w:rPr>
        <w:t>conveni de gestió</w:t>
      </w:r>
      <w:r w:rsidRPr="009428A6">
        <w:rPr>
          <w:rFonts w:ascii="Verdana" w:hAnsi="Verdana"/>
          <w:bCs/>
          <w:sz w:val="20"/>
          <w:szCs w:val="20"/>
        </w:rPr>
        <w:t xml:space="preserve">, la doctrina ha destacat la seva naturalesa jurídic-administrativa, considerant-los com a veritables contractes administratius; els </w:t>
      </w:r>
      <w:r w:rsidRPr="009428A6">
        <w:rPr>
          <w:rFonts w:ascii="Verdana" w:hAnsi="Verdana"/>
          <w:b/>
          <w:bCs/>
          <w:sz w:val="20"/>
          <w:szCs w:val="20"/>
        </w:rPr>
        <w:t>convenis de planejament</w:t>
      </w:r>
      <w:r w:rsidRPr="009428A6">
        <w:rPr>
          <w:rFonts w:ascii="Verdana" w:hAnsi="Verdana"/>
          <w:bCs/>
          <w:sz w:val="20"/>
          <w:szCs w:val="20"/>
        </w:rPr>
        <w:t>, per contra, prenen la naturalesa de contractes-convenció, ja que no comporten obligacions recíproques entre les parts (pròpies d'un contracte), sinó més aviat compromisos paral·lels entre l'Administració i l'altra part que ho subscriu, no podent comprometre en cap cas la potestat administrativa de planejament, indisponible per via contractual o convencional.</w:t>
      </w:r>
    </w:p>
    <w:p w14:paraId="007A8837" w14:textId="5F74EC55" w:rsidR="003D1378" w:rsidRPr="00AB1F2D" w:rsidRDefault="009428A6" w:rsidP="00AB1F2D">
      <w:pPr>
        <w:jc w:val="both"/>
        <w:rPr>
          <w:rFonts w:ascii="Verdana" w:hAnsi="Verdana"/>
          <w:bCs/>
          <w:sz w:val="20"/>
          <w:szCs w:val="20"/>
        </w:rPr>
      </w:pPr>
      <w:r w:rsidRPr="009428A6">
        <w:rPr>
          <w:rFonts w:ascii="Verdana" w:hAnsi="Verdana"/>
          <w:bCs/>
          <w:sz w:val="20"/>
          <w:szCs w:val="20"/>
          <w:u w:val="single"/>
        </w:rPr>
        <w:t>La multitud de finalitats que poden perseguir els convenis urbanístics fa necessari diferenciar en funció de la naturalesa dels compromisos adquirits en ells, ja que determinarà el règim jurídic que els resulti d'aplicació</w:t>
      </w:r>
      <w:r w:rsidRPr="009428A6">
        <w:rPr>
          <w:rFonts w:ascii="Verdana" w:hAnsi="Verdana"/>
          <w:bCs/>
          <w:sz w:val="20"/>
          <w:szCs w:val="20"/>
        </w:rPr>
        <w:t xml:space="preserve">, ja que quan el conveni tingui per objecte prestacions pròpies dels contractes, aquest prendrà la consideració de </w:t>
      </w:r>
      <w:r w:rsidRPr="009428A6">
        <w:rPr>
          <w:rFonts w:ascii="Verdana" w:hAnsi="Verdana"/>
          <w:b/>
          <w:bCs/>
          <w:sz w:val="20"/>
          <w:szCs w:val="20"/>
        </w:rPr>
        <w:t>contracte administratiu especial</w:t>
      </w:r>
      <w:r w:rsidRPr="009428A6">
        <w:rPr>
          <w:rFonts w:ascii="Verdana" w:hAnsi="Verdana"/>
          <w:bCs/>
          <w:sz w:val="20"/>
          <w:szCs w:val="20"/>
        </w:rPr>
        <w:t>, i es regirà, en primer terme, per les normes específiques en matèria d'urbanisme que li resultin d'aplicació i, en segon lloc, per la Llei de Contractes del Sector Públic i les seves disposicions de desenvolupament. En aquest mateix sentit es pronuncia el Text Refós de la Llei d'Urbanisme, aprovat pel Decret Legislatiu 1/2010, de 3 d'agost, quan arbitra les relacions entre l'Administració i l'Agent Urbanitzador, ja que aquesta relació jurídica es qualifica com un veritable contracte administratiu, a pesar que la regulació d'aquesta relació es plasmi en l'oportú conveni urbanístic que se subscrigui a aquest efecte. A aquest, a falta de disposicions específiques contingudes en la legislació urbanística, i per considerar-se efectivament com un contracte administratiu especial, li resultarà d'aplicació la legislació contractual a falta de legislació urbanística, escapant de l'esfera típicament convencional de la Llei 40/2015, d'1 d'octubre.</w:t>
      </w:r>
    </w:p>
    <w:p w14:paraId="77C852A2" w14:textId="0797A3D6" w:rsidR="003D1378" w:rsidRPr="003D1378" w:rsidRDefault="003D1378" w:rsidP="003D1378">
      <w:pPr>
        <w:spacing w:line="240" w:lineRule="auto"/>
        <w:jc w:val="both"/>
        <w:rPr>
          <w:rFonts w:ascii="Verdana" w:hAnsi="Verdana"/>
          <w:sz w:val="20"/>
          <w:szCs w:val="20"/>
        </w:rPr>
      </w:pPr>
      <w:r w:rsidRPr="003D1378">
        <w:rPr>
          <w:rFonts w:ascii="Verdana" w:hAnsi="Verdana"/>
          <w:sz w:val="20"/>
          <w:szCs w:val="20"/>
        </w:rPr>
        <w:t>Amb aquesta finalitat, s'emet la present Memòria justificativa per a la celebració de l'esmentat conveni, d'acord amb el que estableix l'article 50.1 de la Llei 40/2015, d'1 d'octubre, de règim jurídic del Sector Públic -LRJSP-</w:t>
      </w:r>
      <w:r w:rsidR="00AB1F2D">
        <w:rPr>
          <w:rFonts w:ascii="Verdana" w:hAnsi="Verdana"/>
          <w:sz w:val="20"/>
          <w:szCs w:val="20"/>
        </w:rPr>
        <w:t>, i amb independència del règim jurídic que resulti d’aplicació als compromisos assumits</w:t>
      </w:r>
      <w:r w:rsidRPr="003D1378">
        <w:rPr>
          <w:rFonts w:ascii="Verdana" w:hAnsi="Verdana"/>
          <w:sz w:val="20"/>
          <w:szCs w:val="20"/>
        </w:rPr>
        <w:t>:</w:t>
      </w:r>
    </w:p>
    <w:p w14:paraId="5B171AF2" w14:textId="77777777" w:rsidR="003D1378" w:rsidRPr="003D1378" w:rsidRDefault="003D1378" w:rsidP="003D1378">
      <w:pPr>
        <w:spacing w:line="240" w:lineRule="auto"/>
        <w:jc w:val="both"/>
        <w:rPr>
          <w:rFonts w:ascii="Verdana" w:hAnsi="Verdana"/>
          <w:sz w:val="20"/>
          <w:szCs w:val="20"/>
        </w:rPr>
      </w:pPr>
    </w:p>
    <w:p w14:paraId="2071924E" w14:textId="77777777" w:rsidR="003D1378" w:rsidRPr="003D1378" w:rsidRDefault="003D1378" w:rsidP="003D1378">
      <w:pPr>
        <w:spacing w:line="240" w:lineRule="auto"/>
        <w:jc w:val="both"/>
        <w:rPr>
          <w:rFonts w:ascii="Verdana" w:hAnsi="Verdana"/>
          <w:sz w:val="20"/>
          <w:szCs w:val="20"/>
        </w:rPr>
      </w:pPr>
      <w:r w:rsidRPr="00804B08">
        <w:rPr>
          <w:rFonts w:ascii="Verdana" w:hAnsi="Verdana"/>
          <w:b/>
          <w:sz w:val="20"/>
          <w:szCs w:val="20"/>
        </w:rPr>
        <w:t>PRIMER</w:t>
      </w:r>
      <w:r w:rsidR="00804B08">
        <w:rPr>
          <w:rFonts w:ascii="Verdana" w:hAnsi="Verdana"/>
          <w:sz w:val="20"/>
          <w:szCs w:val="20"/>
        </w:rPr>
        <w:t>.</w:t>
      </w:r>
      <w:r w:rsidRPr="003D1378">
        <w:rPr>
          <w:rFonts w:ascii="Verdana" w:hAnsi="Verdana"/>
          <w:sz w:val="20"/>
          <w:szCs w:val="20"/>
        </w:rPr>
        <w:t xml:space="preserve"> Objecte del conveni:</w:t>
      </w:r>
    </w:p>
    <w:p w14:paraId="40066C63" w14:textId="77777777" w:rsidR="00804B08" w:rsidRDefault="003D1378" w:rsidP="003D1378">
      <w:pPr>
        <w:spacing w:line="240" w:lineRule="auto"/>
        <w:jc w:val="both"/>
        <w:rPr>
          <w:rFonts w:ascii="Verdana" w:hAnsi="Verdana"/>
          <w:sz w:val="20"/>
          <w:szCs w:val="20"/>
        </w:rPr>
      </w:pPr>
      <w:r w:rsidRPr="003D1378">
        <w:rPr>
          <w:rFonts w:ascii="Verdana" w:hAnsi="Verdana"/>
          <w:sz w:val="20"/>
          <w:szCs w:val="20"/>
        </w:rPr>
        <w:t>(....)</w:t>
      </w:r>
    </w:p>
    <w:p w14:paraId="5178F8B1" w14:textId="77777777" w:rsidR="00BC0376" w:rsidRDefault="00BC0376" w:rsidP="003D1378">
      <w:pPr>
        <w:spacing w:line="240" w:lineRule="auto"/>
        <w:jc w:val="both"/>
        <w:rPr>
          <w:rFonts w:ascii="Verdana" w:hAnsi="Verdana"/>
          <w:sz w:val="20"/>
          <w:szCs w:val="20"/>
        </w:rPr>
      </w:pPr>
    </w:p>
    <w:p w14:paraId="28E97944" w14:textId="77777777" w:rsidR="003D1378" w:rsidRPr="003D1378" w:rsidRDefault="003D1378" w:rsidP="003D1378">
      <w:pPr>
        <w:spacing w:line="240" w:lineRule="auto"/>
        <w:jc w:val="both"/>
        <w:rPr>
          <w:rFonts w:ascii="Verdana" w:hAnsi="Verdana"/>
          <w:sz w:val="20"/>
          <w:szCs w:val="20"/>
        </w:rPr>
      </w:pPr>
      <w:r w:rsidRPr="00804B08">
        <w:rPr>
          <w:rFonts w:ascii="Verdana" w:hAnsi="Verdana"/>
          <w:b/>
          <w:sz w:val="20"/>
          <w:szCs w:val="20"/>
        </w:rPr>
        <w:t>SEGON</w:t>
      </w:r>
      <w:r w:rsidR="00804B08">
        <w:rPr>
          <w:rFonts w:ascii="Verdana" w:hAnsi="Verdana"/>
          <w:sz w:val="20"/>
          <w:szCs w:val="20"/>
        </w:rPr>
        <w:t>.</w:t>
      </w:r>
      <w:r w:rsidRPr="003D1378">
        <w:rPr>
          <w:rFonts w:ascii="Verdana" w:hAnsi="Verdana"/>
          <w:sz w:val="20"/>
          <w:szCs w:val="20"/>
        </w:rPr>
        <w:t xml:space="preserve"> Necessitat i oportunitat del recurs al conveni:</w:t>
      </w:r>
    </w:p>
    <w:p w14:paraId="1FDDECD0" w14:textId="77777777" w:rsidR="003D1378" w:rsidRPr="003D1378" w:rsidRDefault="003D1378" w:rsidP="003D1378">
      <w:pPr>
        <w:spacing w:line="240" w:lineRule="auto"/>
        <w:jc w:val="both"/>
        <w:rPr>
          <w:rFonts w:ascii="Verdana" w:hAnsi="Verdana"/>
          <w:sz w:val="20"/>
          <w:szCs w:val="20"/>
        </w:rPr>
      </w:pPr>
      <w:r w:rsidRPr="003D1378">
        <w:rPr>
          <w:rFonts w:ascii="Verdana" w:hAnsi="Verdana"/>
          <w:sz w:val="20"/>
          <w:szCs w:val="20"/>
        </w:rPr>
        <w:t>(...)</w:t>
      </w:r>
    </w:p>
    <w:p w14:paraId="1FD2A980" w14:textId="77777777" w:rsidR="00804B08" w:rsidRDefault="00804B08" w:rsidP="003D1378">
      <w:pPr>
        <w:spacing w:line="240" w:lineRule="auto"/>
        <w:jc w:val="both"/>
        <w:rPr>
          <w:rFonts w:ascii="Verdana" w:hAnsi="Verdana"/>
          <w:sz w:val="20"/>
          <w:szCs w:val="20"/>
        </w:rPr>
      </w:pPr>
    </w:p>
    <w:p w14:paraId="6FBD6758" w14:textId="77777777" w:rsidR="003D1378" w:rsidRPr="003D1378" w:rsidRDefault="003D1378" w:rsidP="003D1378">
      <w:pPr>
        <w:spacing w:line="240" w:lineRule="auto"/>
        <w:jc w:val="both"/>
        <w:rPr>
          <w:rFonts w:ascii="Verdana" w:hAnsi="Verdana"/>
          <w:sz w:val="20"/>
          <w:szCs w:val="20"/>
        </w:rPr>
      </w:pPr>
      <w:r w:rsidRPr="00804B08">
        <w:rPr>
          <w:rFonts w:ascii="Verdana" w:hAnsi="Verdana"/>
          <w:b/>
          <w:sz w:val="20"/>
          <w:szCs w:val="20"/>
        </w:rPr>
        <w:t>TERCER</w:t>
      </w:r>
      <w:r w:rsidR="00804B08">
        <w:rPr>
          <w:rFonts w:ascii="Verdana" w:hAnsi="Verdana"/>
          <w:sz w:val="20"/>
          <w:szCs w:val="20"/>
        </w:rPr>
        <w:t>.</w:t>
      </w:r>
      <w:r w:rsidRPr="003D1378">
        <w:rPr>
          <w:rFonts w:ascii="Verdana" w:hAnsi="Verdana"/>
          <w:sz w:val="20"/>
          <w:szCs w:val="20"/>
        </w:rPr>
        <w:t xml:space="preserve"> Impacte econòmic:</w:t>
      </w:r>
    </w:p>
    <w:p w14:paraId="50327E9F" w14:textId="77777777" w:rsidR="003D1378" w:rsidRPr="003D1378" w:rsidRDefault="003D1378" w:rsidP="003D1378">
      <w:pPr>
        <w:spacing w:line="240" w:lineRule="auto"/>
        <w:jc w:val="both"/>
        <w:rPr>
          <w:rFonts w:ascii="Verdana" w:hAnsi="Verdana"/>
          <w:sz w:val="20"/>
          <w:szCs w:val="20"/>
        </w:rPr>
      </w:pPr>
      <w:r w:rsidRPr="003D1378">
        <w:rPr>
          <w:rFonts w:ascii="Verdana" w:hAnsi="Verdana"/>
          <w:sz w:val="20"/>
          <w:szCs w:val="20"/>
        </w:rPr>
        <w:t>(...)</w:t>
      </w:r>
    </w:p>
    <w:p w14:paraId="3C308A14" w14:textId="77777777" w:rsidR="00804B08" w:rsidRDefault="00804B08" w:rsidP="003D1378">
      <w:pPr>
        <w:spacing w:line="240" w:lineRule="auto"/>
        <w:jc w:val="both"/>
        <w:rPr>
          <w:rFonts w:ascii="Verdana" w:hAnsi="Verdana"/>
          <w:sz w:val="20"/>
          <w:szCs w:val="20"/>
        </w:rPr>
      </w:pPr>
    </w:p>
    <w:p w14:paraId="650A0E1E" w14:textId="443BE301" w:rsidR="00AF60E0" w:rsidRDefault="00AF60E0" w:rsidP="003D1378">
      <w:pPr>
        <w:spacing w:line="240" w:lineRule="auto"/>
        <w:jc w:val="both"/>
        <w:rPr>
          <w:rFonts w:ascii="Verdana" w:hAnsi="Verdana"/>
          <w:bCs/>
          <w:sz w:val="20"/>
          <w:szCs w:val="20"/>
        </w:rPr>
      </w:pPr>
      <w:r>
        <w:rPr>
          <w:rFonts w:ascii="Verdana" w:hAnsi="Verdana"/>
          <w:b/>
          <w:sz w:val="20"/>
          <w:szCs w:val="20"/>
        </w:rPr>
        <w:lastRenderedPageBreak/>
        <w:t xml:space="preserve">QUART.- </w:t>
      </w:r>
      <w:r w:rsidRPr="00AF60E0">
        <w:rPr>
          <w:rFonts w:ascii="Verdana" w:hAnsi="Verdana"/>
          <w:bCs/>
          <w:sz w:val="20"/>
          <w:szCs w:val="20"/>
        </w:rPr>
        <w:t>Compliment estabilitat pressupostària i sostenibilitat financera</w:t>
      </w:r>
      <w:r>
        <w:rPr>
          <w:rFonts w:ascii="Verdana" w:hAnsi="Verdana"/>
          <w:bCs/>
          <w:sz w:val="20"/>
          <w:szCs w:val="20"/>
        </w:rPr>
        <w:t>, en el cas que el conveni suposi una incidència sobre les despeses i ingressos de l’entitat, és essencial en compliment de l’article 4 de la LO 2/2012, d’Estabilitat Pressupostària i Sostenibilitat Financera, la valoració d’aquesta:</w:t>
      </w:r>
    </w:p>
    <w:p w14:paraId="48806645" w14:textId="249EAB7A" w:rsidR="00AF60E0" w:rsidRDefault="00AF60E0" w:rsidP="003D1378">
      <w:pPr>
        <w:spacing w:line="240" w:lineRule="auto"/>
        <w:jc w:val="both"/>
        <w:rPr>
          <w:rFonts w:ascii="Verdana" w:hAnsi="Verdana"/>
          <w:b/>
          <w:sz w:val="20"/>
          <w:szCs w:val="20"/>
        </w:rPr>
      </w:pPr>
      <w:r>
        <w:rPr>
          <w:rFonts w:ascii="Verdana" w:hAnsi="Verdana"/>
          <w:bCs/>
          <w:sz w:val="20"/>
          <w:szCs w:val="20"/>
        </w:rPr>
        <w:t>(...)</w:t>
      </w:r>
    </w:p>
    <w:p w14:paraId="2D2E05D2" w14:textId="02D08F84" w:rsidR="003D1378" w:rsidRPr="003D1378" w:rsidRDefault="00AF60E0" w:rsidP="003D1378">
      <w:pPr>
        <w:spacing w:line="240" w:lineRule="auto"/>
        <w:jc w:val="both"/>
        <w:rPr>
          <w:rFonts w:ascii="Verdana" w:hAnsi="Verdana"/>
          <w:sz w:val="20"/>
          <w:szCs w:val="20"/>
        </w:rPr>
      </w:pPr>
      <w:r>
        <w:rPr>
          <w:rFonts w:ascii="Verdana" w:hAnsi="Verdana"/>
          <w:b/>
          <w:sz w:val="20"/>
          <w:szCs w:val="20"/>
        </w:rPr>
        <w:t>CINQUÈ</w:t>
      </w:r>
      <w:r w:rsidR="00804B08">
        <w:rPr>
          <w:rFonts w:ascii="Verdana" w:hAnsi="Verdana"/>
          <w:b/>
          <w:sz w:val="20"/>
          <w:szCs w:val="20"/>
        </w:rPr>
        <w:t>.</w:t>
      </w:r>
      <w:r w:rsidR="003D1378" w:rsidRPr="003D1378">
        <w:rPr>
          <w:rFonts w:ascii="Verdana" w:hAnsi="Verdana"/>
          <w:sz w:val="20"/>
          <w:szCs w:val="20"/>
        </w:rPr>
        <w:t xml:space="preserve"> Justificació del caràcter no contractual </w:t>
      </w:r>
      <w:r>
        <w:rPr>
          <w:rFonts w:ascii="Verdana" w:hAnsi="Verdana"/>
          <w:sz w:val="20"/>
          <w:szCs w:val="20"/>
        </w:rPr>
        <w:t xml:space="preserve">i no subvencional </w:t>
      </w:r>
      <w:r w:rsidR="003D1378" w:rsidRPr="003D1378">
        <w:rPr>
          <w:rFonts w:ascii="Verdana" w:hAnsi="Verdana"/>
          <w:sz w:val="20"/>
          <w:szCs w:val="20"/>
        </w:rPr>
        <w:t>de l'activitat a desenvolupar:</w:t>
      </w:r>
    </w:p>
    <w:p w14:paraId="59A219FC" w14:textId="77777777" w:rsidR="003D1378" w:rsidRPr="003D1378" w:rsidRDefault="003D1378" w:rsidP="003D1378">
      <w:pPr>
        <w:spacing w:line="240" w:lineRule="auto"/>
        <w:jc w:val="both"/>
        <w:rPr>
          <w:rFonts w:ascii="Verdana" w:hAnsi="Verdana"/>
          <w:sz w:val="20"/>
          <w:szCs w:val="20"/>
        </w:rPr>
      </w:pPr>
      <w:r w:rsidRPr="003D1378">
        <w:rPr>
          <w:rFonts w:ascii="Verdana" w:hAnsi="Verdana"/>
          <w:sz w:val="20"/>
          <w:szCs w:val="20"/>
        </w:rPr>
        <w:t>(...)</w:t>
      </w:r>
    </w:p>
    <w:p w14:paraId="3ACBCA70" w14:textId="77777777" w:rsidR="00804B08" w:rsidRDefault="00804B08" w:rsidP="003D1378">
      <w:pPr>
        <w:spacing w:line="240" w:lineRule="auto"/>
        <w:jc w:val="both"/>
        <w:rPr>
          <w:rFonts w:ascii="Verdana" w:hAnsi="Verdana"/>
          <w:sz w:val="20"/>
          <w:szCs w:val="20"/>
        </w:rPr>
      </w:pPr>
    </w:p>
    <w:p w14:paraId="37220820" w14:textId="2DB507E0" w:rsidR="003D1378" w:rsidRPr="003D1378" w:rsidRDefault="00AF60E0" w:rsidP="003D1378">
      <w:pPr>
        <w:spacing w:line="240" w:lineRule="auto"/>
        <w:jc w:val="both"/>
        <w:rPr>
          <w:rFonts w:ascii="Verdana" w:hAnsi="Verdana"/>
          <w:sz w:val="20"/>
          <w:szCs w:val="20"/>
        </w:rPr>
      </w:pPr>
      <w:r>
        <w:rPr>
          <w:rFonts w:ascii="Verdana" w:hAnsi="Verdana"/>
          <w:b/>
          <w:sz w:val="20"/>
          <w:szCs w:val="20"/>
        </w:rPr>
        <w:t>SIS</w:t>
      </w:r>
      <w:r w:rsidR="003D1378" w:rsidRPr="00804B08">
        <w:rPr>
          <w:rFonts w:ascii="Verdana" w:hAnsi="Verdana"/>
          <w:b/>
          <w:sz w:val="20"/>
          <w:szCs w:val="20"/>
        </w:rPr>
        <w:t>È</w:t>
      </w:r>
      <w:r w:rsidR="00804B08">
        <w:rPr>
          <w:rFonts w:ascii="Verdana" w:hAnsi="Verdana"/>
          <w:sz w:val="20"/>
          <w:szCs w:val="20"/>
        </w:rPr>
        <w:t>.</w:t>
      </w:r>
      <w:r w:rsidR="003D1378" w:rsidRPr="003D1378">
        <w:rPr>
          <w:rFonts w:ascii="Verdana" w:hAnsi="Verdana"/>
          <w:sz w:val="20"/>
          <w:szCs w:val="20"/>
        </w:rPr>
        <w:t xml:space="preserve"> Justificació del compliment de les disposicions de l'article 57 de la Llei 7/1985, de 2 d'abril, Reguladora de les Bases del Règim Local -LRBRL-,</w:t>
      </w:r>
      <w:r w:rsidR="00804B08">
        <w:rPr>
          <w:rFonts w:ascii="Verdana" w:hAnsi="Verdana"/>
          <w:sz w:val="20"/>
          <w:szCs w:val="20"/>
        </w:rPr>
        <w:t xml:space="preserve"> </w:t>
      </w:r>
      <w:r w:rsidR="003D1378" w:rsidRPr="003D1378">
        <w:rPr>
          <w:rFonts w:ascii="Verdana" w:hAnsi="Verdana"/>
          <w:sz w:val="20"/>
          <w:szCs w:val="20"/>
        </w:rPr>
        <w:t>i articles 47 a 53 de la Llei 40/2015, d'1 d'octubre, de règim jurídic del Sector Públic -LRJSP-:</w:t>
      </w:r>
    </w:p>
    <w:p w14:paraId="2F9E7A82" w14:textId="77777777" w:rsidR="003D1378" w:rsidRPr="003D1378" w:rsidRDefault="003D1378" w:rsidP="003D1378">
      <w:pPr>
        <w:spacing w:line="240" w:lineRule="auto"/>
        <w:jc w:val="both"/>
        <w:rPr>
          <w:rFonts w:ascii="Verdana" w:hAnsi="Verdana"/>
          <w:sz w:val="20"/>
          <w:szCs w:val="20"/>
        </w:rPr>
      </w:pPr>
      <w:r w:rsidRPr="003D1378">
        <w:rPr>
          <w:rFonts w:ascii="Verdana" w:hAnsi="Verdana"/>
          <w:sz w:val="20"/>
          <w:szCs w:val="20"/>
        </w:rPr>
        <w:t>(...)</w:t>
      </w:r>
    </w:p>
    <w:p w14:paraId="6DCEA09F" w14:textId="77777777" w:rsidR="00804B08" w:rsidRDefault="00804B08" w:rsidP="003D1378">
      <w:pPr>
        <w:spacing w:line="240" w:lineRule="auto"/>
        <w:jc w:val="both"/>
        <w:rPr>
          <w:rFonts w:ascii="Verdana" w:hAnsi="Verdana"/>
          <w:sz w:val="20"/>
          <w:szCs w:val="20"/>
        </w:rPr>
      </w:pPr>
    </w:p>
    <w:p w14:paraId="2AF4D3F9" w14:textId="77777777" w:rsidR="003D1378" w:rsidRPr="003D1378" w:rsidRDefault="00804B08" w:rsidP="003D1378">
      <w:pPr>
        <w:spacing w:line="240" w:lineRule="auto"/>
        <w:jc w:val="both"/>
        <w:rPr>
          <w:rFonts w:ascii="Verdana" w:hAnsi="Verdana"/>
          <w:sz w:val="20"/>
          <w:szCs w:val="20"/>
        </w:rPr>
      </w:pPr>
      <w:r>
        <w:rPr>
          <w:rFonts w:ascii="Verdana" w:hAnsi="Verdana"/>
          <w:sz w:val="20"/>
          <w:szCs w:val="20"/>
        </w:rPr>
        <w:t>A</w:t>
      </w:r>
      <w:r w:rsidR="003D1378" w:rsidRPr="003D1378">
        <w:rPr>
          <w:rFonts w:ascii="Verdana" w:hAnsi="Verdana"/>
          <w:sz w:val="20"/>
          <w:szCs w:val="20"/>
        </w:rPr>
        <w:t xml:space="preserve"> ____, a ____ de ____ de ____.</w:t>
      </w:r>
    </w:p>
    <w:p w14:paraId="0D74B3A1" w14:textId="77777777" w:rsidR="003D1378" w:rsidRPr="003D1378" w:rsidRDefault="003D1378" w:rsidP="003D1378">
      <w:pPr>
        <w:spacing w:line="240" w:lineRule="auto"/>
        <w:jc w:val="both"/>
        <w:rPr>
          <w:rFonts w:ascii="Verdana" w:hAnsi="Verdana"/>
          <w:sz w:val="20"/>
          <w:szCs w:val="20"/>
        </w:rPr>
      </w:pPr>
    </w:p>
    <w:p w14:paraId="511BD57E" w14:textId="10F00307" w:rsidR="004500EC" w:rsidRDefault="003D1378" w:rsidP="003D1378">
      <w:pPr>
        <w:spacing w:line="240" w:lineRule="auto"/>
        <w:jc w:val="both"/>
        <w:rPr>
          <w:rFonts w:ascii="Verdana" w:hAnsi="Verdana"/>
          <w:i/>
          <w:sz w:val="20"/>
          <w:szCs w:val="20"/>
        </w:rPr>
      </w:pPr>
      <w:r w:rsidRPr="00804B08">
        <w:rPr>
          <w:rFonts w:ascii="Verdana" w:hAnsi="Verdana"/>
          <w:i/>
          <w:sz w:val="20"/>
          <w:szCs w:val="20"/>
        </w:rPr>
        <w:t>Signatura (Representants de les administracions que hi intervenen)</w:t>
      </w:r>
    </w:p>
    <w:p w14:paraId="62B0E567" w14:textId="375D93A9" w:rsidR="00AB1F2D" w:rsidRDefault="00AB1F2D" w:rsidP="003D1378">
      <w:pPr>
        <w:spacing w:line="240" w:lineRule="auto"/>
        <w:jc w:val="both"/>
        <w:rPr>
          <w:rFonts w:ascii="Verdana" w:hAnsi="Verdana"/>
          <w:i/>
          <w:sz w:val="20"/>
          <w:szCs w:val="20"/>
        </w:rPr>
      </w:pPr>
    </w:p>
    <w:p w14:paraId="377D0830" w14:textId="77777777" w:rsidR="00AB1F2D" w:rsidRPr="0091407B" w:rsidRDefault="00AB1F2D" w:rsidP="00AB1F2D">
      <w:pPr>
        <w:ind w:left="720"/>
        <w:rPr>
          <w:rFonts w:ascii="Verdana" w:hAnsi="Verdana"/>
          <w:color w:val="333399"/>
          <w:sz w:val="20"/>
          <w:szCs w:val="20"/>
        </w:rPr>
      </w:pPr>
    </w:p>
    <w:p w14:paraId="1BF67BCF" w14:textId="77777777" w:rsidR="00AB1F2D" w:rsidRPr="00804B08" w:rsidRDefault="00AB1F2D" w:rsidP="003D1378">
      <w:pPr>
        <w:spacing w:line="240" w:lineRule="auto"/>
        <w:jc w:val="both"/>
        <w:rPr>
          <w:rFonts w:ascii="Verdana" w:hAnsi="Verdana"/>
          <w:i/>
          <w:sz w:val="20"/>
          <w:szCs w:val="20"/>
        </w:rPr>
      </w:pPr>
    </w:p>
    <w:sectPr w:rsidR="00AB1F2D" w:rsidRPr="00804B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E23F9"/>
    <w:multiLevelType w:val="hybridMultilevel"/>
    <w:tmpl w:val="10F610A2"/>
    <w:lvl w:ilvl="0" w:tplc="FFFFFFFF">
      <w:start w:val="1"/>
      <w:numFmt w:val="decimal"/>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78"/>
    <w:rsid w:val="00073543"/>
    <w:rsid w:val="0015340A"/>
    <w:rsid w:val="002B5F36"/>
    <w:rsid w:val="003D1378"/>
    <w:rsid w:val="004500EC"/>
    <w:rsid w:val="006926E9"/>
    <w:rsid w:val="00804B08"/>
    <w:rsid w:val="009428A6"/>
    <w:rsid w:val="00AB1F2D"/>
    <w:rsid w:val="00AF60E0"/>
    <w:rsid w:val="00BC037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A1CA"/>
  <w15:chartTrackingRefBased/>
  <w15:docId w15:val="{C04CB2DA-0F0E-4A97-AF00-4161DB72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545</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Ignasi Prádanos Duran</dc:creator>
  <cp:keywords/>
  <dc:description/>
  <cp:lastModifiedBy>IgnasiPD</cp:lastModifiedBy>
  <cp:revision>3</cp:revision>
  <dcterms:created xsi:type="dcterms:W3CDTF">2020-04-16T10:48:00Z</dcterms:created>
  <dcterms:modified xsi:type="dcterms:W3CDTF">2020-04-17T09:23:00Z</dcterms:modified>
</cp:coreProperties>
</file>