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611A2" w14:textId="3418D8A5" w:rsidR="009F59C9" w:rsidRDefault="009F59C9" w:rsidP="00CB539A">
      <w:pPr>
        <w:spacing w:after="0" w:line="240" w:lineRule="auto"/>
        <w:jc w:val="both"/>
        <w:rPr>
          <w:b/>
          <w:bCs/>
          <w:sz w:val="32"/>
          <w:szCs w:val="32"/>
        </w:rPr>
      </w:pPr>
      <w:bookmarkStart w:id="0" w:name="_GoBack"/>
      <w:bookmarkEnd w:id="0"/>
      <w:r w:rsidRPr="7E1D8CE6">
        <w:rPr>
          <w:b/>
          <w:bCs/>
          <w:sz w:val="32"/>
          <w:szCs w:val="32"/>
        </w:rPr>
        <w:t xml:space="preserve">FAQ’S Com </w:t>
      </w:r>
      <w:r w:rsidR="0042283D" w:rsidRPr="7E1D8CE6">
        <w:rPr>
          <w:b/>
          <w:bCs/>
          <w:sz w:val="32"/>
          <w:szCs w:val="32"/>
        </w:rPr>
        <w:t xml:space="preserve">comptabilitzar la seguretat social </w:t>
      </w:r>
      <w:r w:rsidR="002429FE">
        <w:rPr>
          <w:b/>
          <w:bCs/>
          <w:sz w:val="32"/>
          <w:szCs w:val="32"/>
        </w:rPr>
        <w:t xml:space="preserve">mensual i l’aportació </w:t>
      </w:r>
      <w:r w:rsidR="0042283D" w:rsidRPr="7E1D8CE6">
        <w:rPr>
          <w:b/>
          <w:bCs/>
          <w:sz w:val="32"/>
          <w:szCs w:val="32"/>
        </w:rPr>
        <w:t>corresponent al mes de desembre</w:t>
      </w:r>
      <w:r w:rsidRPr="7E1D8CE6">
        <w:rPr>
          <w:b/>
          <w:bCs/>
          <w:sz w:val="32"/>
          <w:szCs w:val="32"/>
        </w:rPr>
        <w:t xml:space="preserve"> al programa comptable SICALwin?</w:t>
      </w:r>
    </w:p>
    <w:p w14:paraId="3FEED2A4" w14:textId="77777777" w:rsidR="00CB539A" w:rsidRDefault="00CB539A" w:rsidP="00CB539A">
      <w:pPr>
        <w:spacing w:after="0" w:line="240" w:lineRule="auto"/>
        <w:jc w:val="both"/>
      </w:pPr>
    </w:p>
    <w:p w14:paraId="64C115D5" w14:textId="32FBD038" w:rsidR="00DD25B7" w:rsidRDefault="1F3CF9DB" w:rsidP="00CB539A">
      <w:pPr>
        <w:spacing w:after="0" w:line="240" w:lineRule="auto"/>
        <w:jc w:val="both"/>
      </w:pPr>
      <w:r>
        <w:t>Per a fer el registre comptable de la seguretat social, cal tenir en compte:</w:t>
      </w:r>
    </w:p>
    <w:p w14:paraId="75A39345" w14:textId="77B8C7EB" w:rsidR="00DD25B7" w:rsidRDefault="1F3CF9DB" w:rsidP="00CB539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eastAsiaTheme="minorEastAsia"/>
        </w:rPr>
      </w:pPr>
      <w:r>
        <w:t>D</w:t>
      </w:r>
      <w:r w:rsidR="00E6645F">
        <w:t>’una banda les aportacions fetes pels treballadors</w:t>
      </w:r>
      <w:r w:rsidR="6A2AD9B2">
        <w:t>, que impliquen un apunt no pressupostari al concepte 20030, i que</w:t>
      </w:r>
      <w:r w:rsidR="00E6645F">
        <w:t xml:space="preserve"> es descompten mensualment </w:t>
      </w:r>
      <w:r w:rsidR="3D3451A5">
        <w:t>de la nòmina del treballador.</w:t>
      </w:r>
    </w:p>
    <w:p w14:paraId="5A21F945" w14:textId="29373270" w:rsidR="00DD25B7" w:rsidRDefault="3D3451A5" w:rsidP="00CB539A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t xml:space="preserve">I, per </w:t>
      </w:r>
      <w:r w:rsidR="00E6645F">
        <w:t>altra</w:t>
      </w:r>
      <w:r w:rsidR="004969F5">
        <w:t xml:space="preserve"> banda,</w:t>
      </w:r>
      <w:r w:rsidR="00440BCA">
        <w:t xml:space="preserve"> </w:t>
      </w:r>
      <w:r w:rsidR="00E6645F">
        <w:t>les aportacions a càrrec de l’entitat local</w:t>
      </w:r>
      <w:r w:rsidR="01BB9B19">
        <w:t>, que impliquen operacions pressupostàries.</w:t>
      </w:r>
    </w:p>
    <w:p w14:paraId="3486C156" w14:textId="56A41CE6" w:rsidR="00DD25B7" w:rsidRDefault="00DD25B7" w:rsidP="00CB539A">
      <w:pPr>
        <w:spacing w:after="0" w:line="240" w:lineRule="auto"/>
        <w:jc w:val="both"/>
      </w:pPr>
    </w:p>
    <w:p w14:paraId="60848B2C" w14:textId="3439FE0B" w:rsidR="009C53FF" w:rsidRDefault="00F01CC0" w:rsidP="00CB539A">
      <w:pPr>
        <w:spacing w:after="0" w:line="240" w:lineRule="auto"/>
        <w:jc w:val="both"/>
      </w:pPr>
      <w:r>
        <w:t>Aquestes aportacions es comptabilitzen de la següent manera:</w:t>
      </w:r>
    </w:p>
    <w:p w14:paraId="383C0C28" w14:textId="77777777" w:rsidR="002429FE" w:rsidRDefault="002429FE" w:rsidP="00CB539A">
      <w:pPr>
        <w:spacing w:after="0" w:line="240" w:lineRule="auto"/>
        <w:jc w:val="both"/>
      </w:pPr>
    </w:p>
    <w:p w14:paraId="20413FB5" w14:textId="67D55F1F" w:rsidR="002429FE" w:rsidRPr="002429FE" w:rsidRDefault="002429FE" w:rsidP="002429FE">
      <w:pPr>
        <w:jc w:val="both"/>
        <w:rPr>
          <w:b/>
          <w:bCs/>
          <w:sz w:val="24"/>
          <w:szCs w:val="24"/>
          <w:u w:val="single"/>
        </w:rPr>
      </w:pPr>
      <w:r w:rsidRPr="002429FE">
        <w:rPr>
          <w:b/>
          <w:bCs/>
          <w:sz w:val="24"/>
          <w:szCs w:val="24"/>
        </w:rPr>
        <w:t xml:space="preserve">1) </w:t>
      </w:r>
      <w:r w:rsidRPr="002429FE">
        <w:rPr>
          <w:b/>
          <w:bCs/>
          <w:sz w:val="24"/>
          <w:szCs w:val="24"/>
          <w:u w:val="single"/>
        </w:rPr>
        <w:t>Seguretat social dels mesos de Gener a Novembre:</w:t>
      </w:r>
    </w:p>
    <w:p w14:paraId="24DCFC72" w14:textId="77777777" w:rsidR="00F01CC0" w:rsidRDefault="00F01CC0" w:rsidP="00F01CC0">
      <w:pPr>
        <w:jc w:val="both"/>
        <w:rPr>
          <w:b/>
          <w:bCs/>
          <w:u w:val="single"/>
        </w:rPr>
      </w:pPr>
      <w:r w:rsidRPr="7E1D8CE6">
        <w:rPr>
          <w:b/>
          <w:bCs/>
        </w:rPr>
        <w:t xml:space="preserve">a) </w:t>
      </w:r>
      <w:r w:rsidRPr="7E1D8CE6">
        <w:rPr>
          <w:b/>
          <w:bCs/>
          <w:u w:val="single"/>
        </w:rPr>
        <w:t>Aportacions fetes pels treballadors</w:t>
      </w:r>
    </w:p>
    <w:p w14:paraId="26D84033" w14:textId="77777777" w:rsidR="002574D2" w:rsidRDefault="002574D2" w:rsidP="002574D2">
      <w:pPr>
        <w:jc w:val="both"/>
      </w:pPr>
      <w:r>
        <w:t xml:space="preserve">Són aquelles que a l’hora de comptabilitzar la nòmina s’afegeix una línia de descompte amb el concepte no pressupostari </w:t>
      </w:r>
      <w:r w:rsidRPr="7E1D8CE6">
        <w:rPr>
          <w:b/>
          <w:bCs/>
        </w:rPr>
        <w:t>20030:</w:t>
      </w:r>
    </w:p>
    <w:p w14:paraId="5123B1C7" w14:textId="43993EFB" w:rsidR="002574D2" w:rsidRPr="00CB539A" w:rsidRDefault="002574D2" w:rsidP="002574D2">
      <w:pPr>
        <w:pStyle w:val="Prrafodelista"/>
        <w:numPr>
          <w:ilvl w:val="0"/>
          <w:numId w:val="2"/>
        </w:numPr>
        <w:shd w:val="clear" w:color="auto" w:fill="FFFFFF" w:themeFill="background1"/>
        <w:ind w:left="284" w:hanging="142"/>
        <w:jc w:val="both"/>
        <w:rPr>
          <w:rFonts w:eastAsiaTheme="minorEastAsia"/>
        </w:rPr>
      </w:pPr>
      <w:r w:rsidRPr="00CB539A">
        <w:t xml:space="preserve">El </w:t>
      </w:r>
      <w:r w:rsidRPr="00CB539A">
        <w:rPr>
          <w:bCs/>
        </w:rPr>
        <w:t>detall</w:t>
      </w:r>
      <w:r w:rsidRPr="00CB539A">
        <w:t xml:space="preserve"> de </w:t>
      </w:r>
      <w:r w:rsidRPr="00CB539A">
        <w:rPr>
          <w:b/>
        </w:rPr>
        <w:t xml:space="preserve">l’import </w:t>
      </w:r>
      <w:r w:rsidRPr="00CB539A">
        <w:t>d’aquest concepte no pressupostari a</w:t>
      </w:r>
      <w:r>
        <w:t>l final de cada mes</w:t>
      </w:r>
      <w:r w:rsidRPr="00CB539A">
        <w:t xml:space="preserve"> ha de coincidir amb els descomptes comptabilitzats en les nòmines de tots els treballadors durant </w:t>
      </w:r>
      <w:r>
        <w:t>el mes que es liquida (ex. Les aportacions corresponents a les nòmines del mes de gener es liquiden al febrer.</w:t>
      </w:r>
    </w:p>
    <w:p w14:paraId="6E5CED0B" w14:textId="77777777" w:rsidR="002574D2" w:rsidRDefault="002574D2" w:rsidP="002574D2">
      <w:pPr>
        <w:spacing w:after="0"/>
        <w:jc w:val="both"/>
        <w:rPr>
          <w:bCs/>
        </w:rPr>
      </w:pPr>
      <w:r>
        <w:rPr>
          <w:bCs/>
        </w:rPr>
        <w:t xml:space="preserve">Per consultar el saldo del concepte no pressupostari 20030 seguir la </w:t>
      </w:r>
      <w:r>
        <w:rPr>
          <w:b/>
          <w:bCs/>
        </w:rPr>
        <w:t>ruta</w:t>
      </w:r>
      <w:r>
        <w:rPr>
          <w:bCs/>
        </w:rPr>
        <w:t xml:space="preserve"> següent:</w:t>
      </w:r>
    </w:p>
    <w:p w14:paraId="7DFEC15E" w14:textId="77777777" w:rsidR="002574D2" w:rsidRDefault="002574D2" w:rsidP="002574D2">
      <w:pPr>
        <w:spacing w:after="0"/>
        <w:jc w:val="both"/>
        <w:rPr>
          <w:b/>
          <w:bCs/>
          <w:i/>
        </w:rPr>
      </w:pPr>
      <w:r w:rsidRPr="00DD25B7">
        <w:rPr>
          <w:bCs/>
          <w:i/>
        </w:rPr>
        <w:t>Operacions no pressupost</w:t>
      </w:r>
      <w:r>
        <w:rPr>
          <w:bCs/>
          <w:i/>
        </w:rPr>
        <w:t>àries</w:t>
      </w:r>
      <w:r w:rsidRPr="00DD25B7">
        <w:rPr>
          <w:bCs/>
          <w:i/>
        </w:rPr>
        <w:t xml:space="preserve"> &gt; </w:t>
      </w:r>
      <w:r w:rsidRPr="00DD25B7">
        <w:rPr>
          <w:b/>
          <w:bCs/>
          <w:i/>
        </w:rPr>
        <w:t>Consulta / Extracte de conceptes no pressupostaris</w:t>
      </w:r>
    </w:p>
    <w:p w14:paraId="08DA35FF" w14:textId="77777777" w:rsidR="00F01CC0" w:rsidRDefault="00F01CC0" w:rsidP="00F01CC0">
      <w:pPr>
        <w:jc w:val="both"/>
        <w:rPr>
          <w:bCs/>
        </w:rPr>
      </w:pPr>
    </w:p>
    <w:p w14:paraId="5B947502" w14:textId="6959C144" w:rsidR="002574D2" w:rsidRPr="00F01CC0" w:rsidRDefault="002574D2" w:rsidP="00F01CC0">
      <w:pPr>
        <w:jc w:val="both"/>
        <w:rPr>
          <w:bCs/>
        </w:rPr>
      </w:pPr>
      <w:r>
        <w:rPr>
          <w:b/>
          <w:bCs/>
          <w:i/>
          <w:noProof/>
          <w:color w:val="2B579A"/>
          <w:szCs w:val="24"/>
          <w:shd w:val="clear" w:color="auto" w:fill="E6E6E6"/>
          <w:lang w:eastAsia="ca-ES"/>
        </w:rPr>
        <w:drawing>
          <wp:inline distT="0" distB="0" distL="0" distR="0" wp14:anchorId="33582AFD" wp14:editId="58760B38">
            <wp:extent cx="5391150" cy="2228850"/>
            <wp:effectExtent l="0" t="0" r="0" b="0"/>
            <wp:docPr id="5" name="Imat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C42BB" w14:textId="01C2D30D" w:rsidR="00F01CC0" w:rsidRDefault="00523406" w:rsidP="00F01CC0">
      <w:pPr>
        <w:jc w:val="both"/>
        <w:rPr>
          <w:bCs/>
        </w:rPr>
      </w:pPr>
      <w:r>
        <w:rPr>
          <w:bCs/>
          <w:noProof/>
          <w:lang w:eastAsia="ca-ES"/>
        </w:rPr>
        <w:lastRenderedPageBreak/>
        <w:drawing>
          <wp:inline distT="0" distB="0" distL="0" distR="0" wp14:anchorId="0EE3B8A7" wp14:editId="39DCF3AF">
            <wp:extent cx="5421880" cy="2528515"/>
            <wp:effectExtent l="0" t="0" r="7620" b="5715"/>
            <wp:docPr id="6" name="Imat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611" cy="2568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8A275" w14:textId="5FCEADE2" w:rsidR="001030DC" w:rsidRDefault="005B0024" w:rsidP="00F01CC0">
      <w:pPr>
        <w:jc w:val="both"/>
        <w:rPr>
          <w:bCs/>
        </w:rPr>
      </w:pPr>
      <w:r>
        <w:rPr>
          <w:bCs/>
        </w:rPr>
        <w:t xml:space="preserve">Per comptabilitzar el pagament corresponent a aquestes aportacions fetes </w:t>
      </w:r>
      <w:r w:rsidR="00B642BC">
        <w:rPr>
          <w:bCs/>
        </w:rPr>
        <w:t xml:space="preserve">pels treballador, seguir la </w:t>
      </w:r>
      <w:r w:rsidR="00B642BC" w:rsidRPr="00B642BC">
        <w:rPr>
          <w:b/>
          <w:bCs/>
        </w:rPr>
        <w:t>ruta</w:t>
      </w:r>
      <w:r w:rsidR="00B642BC">
        <w:rPr>
          <w:bCs/>
        </w:rPr>
        <w:t xml:space="preserve"> següent:</w:t>
      </w:r>
    </w:p>
    <w:p w14:paraId="0589961E" w14:textId="0C0AF72E" w:rsidR="00B642BC" w:rsidRPr="00B642BC" w:rsidRDefault="00B642BC" w:rsidP="00B642BC">
      <w:pPr>
        <w:spacing w:after="0"/>
        <w:jc w:val="both"/>
        <w:rPr>
          <w:bCs/>
          <w:i/>
          <w:sz w:val="20"/>
        </w:rPr>
      </w:pPr>
      <w:r w:rsidRPr="00DD25B7">
        <w:rPr>
          <w:bCs/>
          <w:i/>
        </w:rPr>
        <w:t>Operacions no pressupost</w:t>
      </w:r>
      <w:r>
        <w:rPr>
          <w:bCs/>
          <w:i/>
        </w:rPr>
        <w:t>àries</w:t>
      </w:r>
      <w:r w:rsidRPr="00DD25B7">
        <w:rPr>
          <w:bCs/>
          <w:i/>
        </w:rPr>
        <w:t xml:space="preserve"> &gt; </w:t>
      </w:r>
      <w:r>
        <w:rPr>
          <w:bCs/>
          <w:i/>
        </w:rPr>
        <w:t xml:space="preserve">Operacions no pressupostàries </w:t>
      </w:r>
      <w:r w:rsidRPr="00D34C6E">
        <w:rPr>
          <w:bCs/>
          <w:i/>
        </w:rPr>
        <w:t xml:space="preserve">&gt; </w:t>
      </w:r>
      <w:r w:rsidRPr="00D34C6E">
        <w:rPr>
          <w:b/>
          <w:bCs/>
          <w:i/>
        </w:rPr>
        <w:t>Expedició d’ordres de pagament</w:t>
      </w:r>
    </w:p>
    <w:p w14:paraId="16F1B283" w14:textId="77777777" w:rsidR="00B642BC" w:rsidRDefault="00B642BC" w:rsidP="00F01CC0">
      <w:pPr>
        <w:jc w:val="both"/>
        <w:rPr>
          <w:bCs/>
        </w:rPr>
      </w:pPr>
    </w:p>
    <w:p w14:paraId="323B3AEA" w14:textId="3A809E59" w:rsidR="005B0024" w:rsidRDefault="00B642BC" w:rsidP="00F01CC0">
      <w:pPr>
        <w:jc w:val="both"/>
        <w:rPr>
          <w:bCs/>
        </w:rPr>
      </w:pPr>
      <w:r>
        <w:rPr>
          <w:bCs/>
          <w:noProof/>
          <w:lang w:eastAsia="ca-ES"/>
        </w:rPr>
        <w:drawing>
          <wp:inline distT="0" distB="0" distL="0" distR="0" wp14:anchorId="386980E4" wp14:editId="02E58735">
            <wp:extent cx="5398770" cy="2417445"/>
            <wp:effectExtent l="0" t="0" r="0" b="1905"/>
            <wp:docPr id="10" name="Imat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241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45990" w14:textId="35367370" w:rsidR="004410FA" w:rsidRDefault="004410FA" w:rsidP="00F01CC0">
      <w:pPr>
        <w:jc w:val="both"/>
      </w:pPr>
      <w:r>
        <w:t>A continuació caldrà comptabilitzar l’ordenació del pagament i el pagament efectiu un cop aprovats.</w:t>
      </w:r>
    </w:p>
    <w:p w14:paraId="7347889C" w14:textId="7A731E9F" w:rsidR="00B642BC" w:rsidRDefault="004410FA" w:rsidP="00F01CC0">
      <w:pPr>
        <w:jc w:val="both"/>
      </w:pPr>
      <w:r>
        <w:t>Per conèixer més sobre les operacions corresponents a les fases</w:t>
      </w:r>
      <w:r w:rsidR="00095D92">
        <w:t xml:space="preserve"> d’ordenació de pagament i pagaments efectius</w:t>
      </w:r>
      <w:r>
        <w:t>, podeu consultar la següent FAQ:</w:t>
      </w:r>
    </w:p>
    <w:p w14:paraId="0204F3A9" w14:textId="79FA1D98" w:rsidR="004410FA" w:rsidRDefault="000877DA" w:rsidP="00F01CC0">
      <w:pPr>
        <w:jc w:val="both"/>
        <w:rPr>
          <w:bCs/>
        </w:rPr>
      </w:pPr>
      <w:hyperlink r:id="rId14" w:history="1">
        <w:r w:rsidR="00B914E8" w:rsidRPr="00D34C6E">
          <w:rPr>
            <w:rStyle w:val="Hipervnculo"/>
            <w:bCs/>
          </w:rPr>
          <w:t>FAQ’s Com es comptabilitzen les operacions d’ordenació de pagaments, pagaments efectius i reintegraments de pagament al programa comptable SICALWIN.</w:t>
        </w:r>
      </w:hyperlink>
    </w:p>
    <w:p w14:paraId="267433CA" w14:textId="77777777" w:rsidR="005B0024" w:rsidRPr="005B0024" w:rsidRDefault="005B0024" w:rsidP="005B0024">
      <w:pPr>
        <w:jc w:val="both"/>
        <w:rPr>
          <w:bCs/>
          <w:szCs w:val="24"/>
          <w:u w:val="single"/>
        </w:rPr>
      </w:pPr>
      <w:r w:rsidRPr="005B0024">
        <w:rPr>
          <w:b/>
          <w:bCs/>
          <w:u w:val="single"/>
        </w:rPr>
        <w:t>b) Aportacions a càrrec de l’entitat local</w:t>
      </w:r>
    </w:p>
    <w:p w14:paraId="5CC19065" w14:textId="46FA2E4D" w:rsidR="005B0024" w:rsidRDefault="00A812D2" w:rsidP="00CB539A">
      <w:pPr>
        <w:spacing w:after="0" w:line="240" w:lineRule="auto"/>
        <w:jc w:val="both"/>
      </w:pPr>
      <w:r w:rsidRPr="00A812D2">
        <w:lastRenderedPageBreak/>
        <w:t>Les aportacions a càrrec de l’entitat local, s’imputaran en el pressupost de despeses.</w:t>
      </w:r>
      <w:r>
        <w:t xml:space="preserve"> Per comptabilitzar aquestes operacions es farà una obligació de despeses.</w:t>
      </w:r>
    </w:p>
    <w:p w14:paraId="4A5F4951" w14:textId="77777777" w:rsidR="009537F7" w:rsidRDefault="009537F7" w:rsidP="00CB539A">
      <w:pPr>
        <w:spacing w:after="0" w:line="240" w:lineRule="auto"/>
        <w:jc w:val="both"/>
      </w:pPr>
    </w:p>
    <w:p w14:paraId="448C8124" w14:textId="54ECFA58" w:rsidR="009537F7" w:rsidRDefault="009537F7" w:rsidP="00CB539A">
      <w:pPr>
        <w:spacing w:after="0" w:line="240" w:lineRule="auto"/>
        <w:jc w:val="both"/>
      </w:pPr>
      <w:r>
        <w:t>Per conèixer més sobre les operacions corresponents a les fases d’execució del pressupost de despeses, podeu consultar la següent FAQ:</w:t>
      </w:r>
    </w:p>
    <w:p w14:paraId="494ED475" w14:textId="77777777" w:rsidR="00A812D2" w:rsidRDefault="00A812D2" w:rsidP="00CB539A">
      <w:pPr>
        <w:spacing w:after="0" w:line="240" w:lineRule="auto"/>
        <w:jc w:val="both"/>
      </w:pPr>
    </w:p>
    <w:p w14:paraId="3A774050" w14:textId="03A86A3F" w:rsidR="00A812D2" w:rsidRPr="002D2374" w:rsidRDefault="000877DA" w:rsidP="00CB539A">
      <w:pPr>
        <w:spacing w:after="0" w:line="240" w:lineRule="auto"/>
        <w:jc w:val="both"/>
        <w:rPr>
          <w:color w:val="0070C0"/>
        </w:rPr>
      </w:pPr>
      <w:hyperlink r:id="rId15" w:history="1">
        <w:r w:rsidR="00A67367" w:rsidRPr="00441570">
          <w:rPr>
            <w:rStyle w:val="Hipervnculo"/>
          </w:rPr>
          <w:t>FAQ’s Com es comptabilitzen les operacions d’execució del pressupost de despeses d’autorització, compromís de la despesa i reconeixement de l’obligació al programa comptable SICALWIN</w:t>
        </w:r>
      </w:hyperlink>
    </w:p>
    <w:p w14:paraId="08CD5EE5" w14:textId="77777777" w:rsidR="005B0024" w:rsidRDefault="005B0024" w:rsidP="00CB539A">
      <w:pPr>
        <w:spacing w:after="0" w:line="240" w:lineRule="auto"/>
        <w:jc w:val="both"/>
        <w:rPr>
          <w:b/>
          <w:sz w:val="32"/>
          <w:szCs w:val="32"/>
        </w:rPr>
      </w:pPr>
    </w:p>
    <w:p w14:paraId="7B93C736" w14:textId="43B4B42A" w:rsidR="002429FE" w:rsidRPr="002429FE" w:rsidRDefault="002429FE" w:rsidP="002429FE">
      <w:pPr>
        <w:jc w:val="both"/>
        <w:rPr>
          <w:b/>
          <w:bCs/>
          <w:sz w:val="24"/>
          <w:szCs w:val="24"/>
          <w:u w:val="single"/>
        </w:rPr>
      </w:pPr>
      <w:r w:rsidRPr="002429FE">
        <w:rPr>
          <w:b/>
          <w:bCs/>
          <w:sz w:val="24"/>
          <w:szCs w:val="24"/>
        </w:rPr>
        <w:t xml:space="preserve">2) </w:t>
      </w:r>
      <w:r w:rsidRPr="002429FE">
        <w:rPr>
          <w:b/>
          <w:bCs/>
          <w:sz w:val="24"/>
          <w:szCs w:val="24"/>
          <w:u w:val="single"/>
        </w:rPr>
        <w:t>Seguretat social del mes de desembre:</w:t>
      </w:r>
    </w:p>
    <w:p w14:paraId="24E7E1E2" w14:textId="76F04727" w:rsidR="00DD25B7" w:rsidRDefault="1FB2F2E3" w:rsidP="7E1D8CE6">
      <w:pPr>
        <w:jc w:val="both"/>
        <w:rPr>
          <w:b/>
          <w:bCs/>
          <w:u w:val="single"/>
        </w:rPr>
      </w:pPr>
      <w:r w:rsidRPr="7E1D8CE6">
        <w:rPr>
          <w:b/>
          <w:bCs/>
        </w:rPr>
        <w:t xml:space="preserve">a) </w:t>
      </w:r>
      <w:r w:rsidR="1A4687A9" w:rsidRPr="7E1D8CE6">
        <w:rPr>
          <w:b/>
          <w:bCs/>
          <w:u w:val="single"/>
        </w:rPr>
        <w:t>A</w:t>
      </w:r>
      <w:r w:rsidR="0042283D" w:rsidRPr="7E1D8CE6">
        <w:rPr>
          <w:b/>
          <w:bCs/>
          <w:u w:val="single"/>
        </w:rPr>
        <w:t xml:space="preserve">portacions </w:t>
      </w:r>
      <w:r w:rsidR="00085A8F" w:rsidRPr="7E1D8CE6">
        <w:rPr>
          <w:b/>
          <w:bCs/>
          <w:u w:val="single"/>
        </w:rPr>
        <w:t>fetes pels treballadors</w:t>
      </w:r>
    </w:p>
    <w:p w14:paraId="31FEE892" w14:textId="7FD6F8B2" w:rsidR="00DD25B7" w:rsidRDefault="40DBD227" w:rsidP="7E1D8CE6">
      <w:pPr>
        <w:jc w:val="both"/>
      </w:pPr>
      <w:r>
        <w:t>S</w:t>
      </w:r>
      <w:r w:rsidR="00440BCA">
        <w:t>ón aquelles que a</w:t>
      </w:r>
      <w:r w:rsidR="00D27E47">
        <w:t xml:space="preserve"> </w:t>
      </w:r>
      <w:r w:rsidR="00440BCA">
        <w:t>l</w:t>
      </w:r>
      <w:r w:rsidR="00D27E47">
        <w:t>’</w:t>
      </w:r>
      <w:r w:rsidR="00440BCA">
        <w:t xml:space="preserve">hora de comptabilitzar la nòmina s’afegeix una línia de descompte amb </w:t>
      </w:r>
      <w:r w:rsidR="00085A8F">
        <w:t xml:space="preserve">el concepte no pressupostari </w:t>
      </w:r>
      <w:r w:rsidR="00085A8F" w:rsidRPr="7E1D8CE6">
        <w:rPr>
          <w:b/>
          <w:bCs/>
        </w:rPr>
        <w:t>20030</w:t>
      </w:r>
      <w:r w:rsidR="2CC4CA71" w:rsidRPr="7E1D8CE6">
        <w:rPr>
          <w:b/>
          <w:bCs/>
        </w:rPr>
        <w:t>:</w:t>
      </w:r>
    </w:p>
    <w:p w14:paraId="103DD5D4" w14:textId="3FC9C183" w:rsidR="0042283D" w:rsidRPr="00CB539A" w:rsidRDefault="00440BCA" w:rsidP="00CB539A">
      <w:pPr>
        <w:pStyle w:val="Prrafodelista"/>
        <w:numPr>
          <w:ilvl w:val="0"/>
          <w:numId w:val="2"/>
        </w:numPr>
        <w:shd w:val="clear" w:color="auto" w:fill="FFFFFF" w:themeFill="background1"/>
        <w:ind w:left="284" w:hanging="142"/>
        <w:jc w:val="both"/>
        <w:rPr>
          <w:rFonts w:eastAsiaTheme="minorEastAsia"/>
        </w:rPr>
      </w:pPr>
      <w:r w:rsidRPr="00CB539A">
        <w:t xml:space="preserve">El </w:t>
      </w:r>
      <w:r w:rsidR="0FB6F92B" w:rsidRPr="00CB539A">
        <w:rPr>
          <w:bCs/>
        </w:rPr>
        <w:t>detall</w:t>
      </w:r>
      <w:r w:rsidR="0FB6F92B" w:rsidRPr="00CB539A">
        <w:t xml:space="preserve"> </w:t>
      </w:r>
      <w:r w:rsidR="00CB539A" w:rsidRPr="00CB539A">
        <w:t xml:space="preserve">de </w:t>
      </w:r>
      <w:r w:rsidR="00CB539A" w:rsidRPr="00CB539A">
        <w:rPr>
          <w:b/>
        </w:rPr>
        <w:t>l’import total</w:t>
      </w:r>
      <w:r w:rsidR="00CB539A">
        <w:t xml:space="preserve"> </w:t>
      </w:r>
      <w:r w:rsidRPr="00CB539A">
        <w:t xml:space="preserve">d’aquest concepte no pressupostari </w:t>
      </w:r>
      <w:r w:rsidR="00085A8F" w:rsidRPr="00CB539A">
        <w:t xml:space="preserve">a data 31 de desembre </w:t>
      </w:r>
      <w:r w:rsidRPr="00CB539A">
        <w:t xml:space="preserve">ha de coincidir </w:t>
      </w:r>
      <w:r w:rsidR="00085A8F" w:rsidRPr="00CB539A">
        <w:t>amb els descomptes comptabilitzats en les nòmines de tots els treballadors</w:t>
      </w:r>
      <w:r w:rsidRPr="00CB539A">
        <w:t xml:space="preserve"> durant </w:t>
      </w:r>
      <w:r w:rsidR="4046F77D" w:rsidRPr="00CB539A">
        <w:t xml:space="preserve">tot </w:t>
      </w:r>
      <w:r w:rsidRPr="00CB539A">
        <w:t>l’exercici</w:t>
      </w:r>
      <w:r w:rsidR="5469A67F" w:rsidRPr="00CB539A">
        <w:t xml:space="preserve"> pressupostari</w:t>
      </w:r>
    </w:p>
    <w:p w14:paraId="58ECA17D" w14:textId="1D19ED51" w:rsidR="0042283D" w:rsidRPr="00CB539A" w:rsidRDefault="5469A67F" w:rsidP="00CB539A">
      <w:pPr>
        <w:pStyle w:val="Prrafodelista"/>
        <w:numPr>
          <w:ilvl w:val="0"/>
          <w:numId w:val="2"/>
        </w:numPr>
        <w:ind w:left="284" w:hanging="142"/>
        <w:jc w:val="both"/>
      </w:pPr>
      <w:r w:rsidRPr="00CB539A">
        <w:t xml:space="preserve">I, </w:t>
      </w:r>
      <w:r w:rsidR="13DF6F1D" w:rsidRPr="00CB539A">
        <w:t xml:space="preserve">el </w:t>
      </w:r>
      <w:r w:rsidR="13DF6F1D" w:rsidRPr="00CB539A">
        <w:rPr>
          <w:b/>
          <w:bCs/>
        </w:rPr>
        <w:t>saldo</w:t>
      </w:r>
      <w:r w:rsidR="13DF6F1D" w:rsidRPr="00CB539A">
        <w:t xml:space="preserve"> </w:t>
      </w:r>
      <w:r w:rsidR="7F05657B" w:rsidRPr="00CB539A">
        <w:t xml:space="preserve">del concepte que ha </w:t>
      </w:r>
      <w:r w:rsidR="13DF6F1D" w:rsidRPr="00CB539A">
        <w:t xml:space="preserve">de </w:t>
      </w:r>
      <w:r w:rsidR="3EA3DDBC" w:rsidRPr="00CB539A">
        <w:t>constar</w:t>
      </w:r>
      <w:r w:rsidR="13DF6F1D" w:rsidRPr="00CB539A">
        <w:t xml:space="preserve"> a 31 de desembre ha de ser </w:t>
      </w:r>
      <w:r w:rsidR="6F47AB68" w:rsidRPr="00CB539A">
        <w:t>únicament el de l’import corresponent a les retencions per concepte de</w:t>
      </w:r>
      <w:r w:rsidR="13DF6F1D" w:rsidRPr="00CB539A">
        <w:t xml:space="preserve"> seguretat social de la nòmina de</w:t>
      </w:r>
      <w:r w:rsidR="140A2308" w:rsidRPr="00CB539A">
        <w:t xml:space="preserve">l mes de </w:t>
      </w:r>
      <w:r w:rsidR="13DF6F1D" w:rsidRPr="00CB539A">
        <w:t>desembre</w:t>
      </w:r>
      <w:r w:rsidR="3390B537" w:rsidRPr="00CB539A">
        <w:t>.</w:t>
      </w:r>
    </w:p>
    <w:p w14:paraId="00322341" w14:textId="669BCC78" w:rsidR="00085A8F" w:rsidRDefault="00DD25B7" w:rsidP="004A5810">
      <w:pPr>
        <w:spacing w:after="0"/>
        <w:jc w:val="both"/>
        <w:rPr>
          <w:bCs/>
        </w:rPr>
      </w:pPr>
      <w:r>
        <w:rPr>
          <w:bCs/>
        </w:rPr>
        <w:t>Per consultar</w:t>
      </w:r>
      <w:r w:rsidR="00085A8F">
        <w:rPr>
          <w:bCs/>
        </w:rPr>
        <w:t xml:space="preserve"> el saldo del concepte no pressupostari 20030 </w:t>
      </w:r>
      <w:r w:rsidR="00440BCA">
        <w:rPr>
          <w:bCs/>
        </w:rPr>
        <w:t xml:space="preserve">seguir la </w:t>
      </w:r>
      <w:r>
        <w:rPr>
          <w:b/>
          <w:bCs/>
        </w:rPr>
        <w:t>ruta</w:t>
      </w:r>
      <w:r w:rsidR="00440BCA">
        <w:rPr>
          <w:bCs/>
        </w:rPr>
        <w:t xml:space="preserve"> següent</w:t>
      </w:r>
      <w:r w:rsidR="00085A8F">
        <w:rPr>
          <w:bCs/>
        </w:rPr>
        <w:t>:</w:t>
      </w:r>
    </w:p>
    <w:p w14:paraId="31CFA49C" w14:textId="2568ED0C" w:rsidR="009801D3" w:rsidRDefault="00DD25B7" w:rsidP="004A5810">
      <w:pPr>
        <w:spacing w:after="0"/>
        <w:jc w:val="both"/>
        <w:rPr>
          <w:b/>
          <w:bCs/>
          <w:i/>
        </w:rPr>
      </w:pPr>
      <w:r w:rsidRPr="00DD25B7">
        <w:rPr>
          <w:bCs/>
          <w:i/>
        </w:rPr>
        <w:t>Operacions no pressupost</w:t>
      </w:r>
      <w:r w:rsidR="00440BCA">
        <w:rPr>
          <w:bCs/>
          <w:i/>
        </w:rPr>
        <w:t>àries</w:t>
      </w:r>
      <w:r w:rsidRPr="00DD25B7">
        <w:rPr>
          <w:bCs/>
          <w:i/>
        </w:rPr>
        <w:t xml:space="preserve"> &gt; </w:t>
      </w:r>
      <w:r w:rsidRPr="00DD25B7">
        <w:rPr>
          <w:b/>
          <w:bCs/>
          <w:i/>
        </w:rPr>
        <w:t>Consulta / Extracte de conceptes no pressupostaris</w:t>
      </w:r>
    </w:p>
    <w:p w14:paraId="418D503C" w14:textId="77777777" w:rsidR="00D27E47" w:rsidRPr="00DD25B7" w:rsidRDefault="00D27E47" w:rsidP="004A5810">
      <w:pPr>
        <w:spacing w:after="0"/>
        <w:jc w:val="both"/>
        <w:rPr>
          <w:bCs/>
          <w:i/>
        </w:rPr>
      </w:pPr>
    </w:p>
    <w:p w14:paraId="0AFAD274" w14:textId="473F94DF" w:rsidR="00DD25B7" w:rsidRDefault="00CE2A0B" w:rsidP="00CB539A">
      <w:pPr>
        <w:jc w:val="center"/>
        <w:rPr>
          <w:bCs/>
        </w:rPr>
      </w:pPr>
      <w:r>
        <w:rPr>
          <w:bCs/>
          <w:noProof/>
          <w:color w:val="2B579A"/>
          <w:shd w:val="clear" w:color="auto" w:fill="E6E6E6"/>
          <w:lang w:eastAsia="ca-ES"/>
        </w:rPr>
        <w:drawing>
          <wp:inline distT="0" distB="0" distL="0" distR="0" wp14:anchorId="1437C28F" wp14:editId="0AAD46EA">
            <wp:extent cx="5248829" cy="2171700"/>
            <wp:effectExtent l="0" t="0" r="9525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829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BF05F" w14:textId="77777777" w:rsidR="00D27E47" w:rsidRDefault="00D27E47" w:rsidP="004A5810">
      <w:pPr>
        <w:jc w:val="both"/>
        <w:rPr>
          <w:bCs/>
        </w:rPr>
      </w:pPr>
    </w:p>
    <w:p w14:paraId="48CA2927" w14:textId="542AF797" w:rsidR="00085A8F" w:rsidRPr="0042283D" w:rsidRDefault="00E104C2" w:rsidP="00CB539A">
      <w:pPr>
        <w:jc w:val="center"/>
        <w:rPr>
          <w:bCs/>
        </w:rPr>
      </w:pPr>
      <w:r>
        <w:rPr>
          <w:noProof/>
          <w:color w:val="2B579A"/>
          <w:shd w:val="clear" w:color="auto" w:fill="E6E6E6"/>
          <w:lang w:eastAsia="ca-ES"/>
        </w:rPr>
        <w:lastRenderedPageBreak/>
        <w:drawing>
          <wp:inline distT="0" distB="0" distL="0" distR="0" wp14:anchorId="51C74D1D" wp14:editId="5251BBAE">
            <wp:extent cx="5277485" cy="2606909"/>
            <wp:effectExtent l="0" t="0" r="0" b="3175"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2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7485" cy="2606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42F10" w14:textId="6E2E4867" w:rsidR="00E104C2" w:rsidRDefault="00E104C2" w:rsidP="7E1D8CE6">
      <w:pPr>
        <w:jc w:val="both"/>
        <w:rPr>
          <w:b/>
          <w:bCs/>
        </w:rPr>
      </w:pPr>
      <w:r w:rsidRPr="7E1D8CE6">
        <w:t>Per</w:t>
      </w:r>
      <w:r w:rsidR="4410E111" w:rsidRPr="7E1D8CE6">
        <w:t xml:space="preserve"> a poder</w:t>
      </w:r>
      <w:r w:rsidRPr="7E1D8CE6">
        <w:t xml:space="preserve"> </w:t>
      </w:r>
      <w:r w:rsidR="00440BCA" w:rsidRPr="7E1D8CE6">
        <w:t xml:space="preserve">realitzar </w:t>
      </w:r>
      <w:r w:rsidRPr="7E1D8CE6">
        <w:t>el pagament</w:t>
      </w:r>
      <w:r w:rsidR="32544AD3" w:rsidRPr="7E1D8CE6">
        <w:t>,</w:t>
      </w:r>
      <w:r w:rsidR="7C4F2FDE" w:rsidRPr="7E1D8CE6">
        <w:t xml:space="preserve"> des del concepte no pressupostari, </w:t>
      </w:r>
      <w:r w:rsidR="1F494A54" w:rsidRPr="7E1D8CE6">
        <w:t xml:space="preserve">de la seguretat social del mes de desembre, </w:t>
      </w:r>
      <w:r w:rsidR="79532F40" w:rsidRPr="7E1D8CE6">
        <w:t>el</w:t>
      </w:r>
      <w:r w:rsidRPr="7E1D8CE6">
        <w:t xml:space="preserve"> mes de gener de l</w:t>
      </w:r>
      <w:r w:rsidR="0B4CD9FE" w:rsidRPr="7E1D8CE6">
        <w:t>'exercici</w:t>
      </w:r>
      <w:r w:rsidRPr="7E1D8CE6">
        <w:t xml:space="preserve"> següent</w:t>
      </w:r>
      <w:r w:rsidR="00D27E47" w:rsidRPr="7E1D8CE6">
        <w:t>,</w:t>
      </w:r>
      <w:r w:rsidRPr="7E1D8CE6">
        <w:t xml:space="preserve"> només caldrà </w:t>
      </w:r>
      <w:r w:rsidRPr="7E1D8CE6">
        <w:rPr>
          <w:b/>
          <w:bCs/>
        </w:rPr>
        <w:t xml:space="preserve">traspassar </w:t>
      </w:r>
      <w:r w:rsidR="6759C6F8" w:rsidRPr="7E1D8CE6">
        <w:rPr>
          <w:b/>
          <w:bCs/>
        </w:rPr>
        <w:t>el</w:t>
      </w:r>
      <w:r w:rsidR="6BA4DF52" w:rsidRPr="7E1D8CE6">
        <w:rPr>
          <w:b/>
          <w:bCs/>
        </w:rPr>
        <w:t xml:space="preserve"> </w:t>
      </w:r>
      <w:r w:rsidRPr="7E1D8CE6">
        <w:rPr>
          <w:b/>
          <w:bCs/>
        </w:rPr>
        <w:t>saldo del concepte</w:t>
      </w:r>
      <w:r w:rsidRPr="7E1D8CE6">
        <w:t xml:space="preserve"> </w:t>
      </w:r>
      <w:r w:rsidRPr="7E1D8CE6">
        <w:rPr>
          <w:b/>
          <w:bCs/>
        </w:rPr>
        <w:t>20030</w:t>
      </w:r>
      <w:r w:rsidR="3E311279" w:rsidRPr="7E1D8CE6">
        <w:rPr>
          <w:b/>
          <w:bCs/>
        </w:rPr>
        <w:t xml:space="preserve"> a l’exercici següent.</w:t>
      </w:r>
    </w:p>
    <w:p w14:paraId="27040F68" w14:textId="32032F81" w:rsidR="00E104C2" w:rsidRDefault="00440BCA" w:rsidP="7E1D8CE6">
      <w:pPr>
        <w:jc w:val="both"/>
      </w:pPr>
      <w:r w:rsidRPr="7E1D8CE6">
        <w:t>Per fer el traspàs cal anar a la</w:t>
      </w:r>
      <w:r w:rsidR="00E104C2" w:rsidRPr="7E1D8CE6">
        <w:t xml:space="preserve"> </w:t>
      </w:r>
      <w:r w:rsidR="00E104C2" w:rsidRPr="7E1D8CE6">
        <w:rPr>
          <w:b/>
          <w:bCs/>
        </w:rPr>
        <w:t>ruta</w:t>
      </w:r>
      <w:r w:rsidRPr="7E1D8CE6">
        <w:t xml:space="preserve"> següent</w:t>
      </w:r>
      <w:r w:rsidR="00E104C2" w:rsidRPr="7E1D8CE6">
        <w:t>:</w:t>
      </w:r>
    </w:p>
    <w:p w14:paraId="22A3CD74" w14:textId="6BBA09BE" w:rsidR="00E104C2" w:rsidRDefault="005764C9" w:rsidP="7E1D8CE6">
      <w:pPr>
        <w:jc w:val="both"/>
        <w:rPr>
          <w:b/>
          <w:bCs/>
          <w:i/>
          <w:iCs/>
        </w:rPr>
      </w:pPr>
      <w:r w:rsidRPr="7E1D8CE6">
        <w:rPr>
          <w:i/>
          <w:iCs/>
        </w:rPr>
        <w:t xml:space="preserve">Operacions de fi d’exercici &gt; Processos específics &gt; </w:t>
      </w:r>
      <w:r w:rsidRPr="7E1D8CE6">
        <w:rPr>
          <w:b/>
          <w:bCs/>
          <w:i/>
          <w:iCs/>
        </w:rPr>
        <w:t>Traspàs de saldos Creditors i Deutors N</w:t>
      </w:r>
      <w:r w:rsidR="00440BCA" w:rsidRPr="7E1D8CE6">
        <w:rPr>
          <w:b/>
          <w:bCs/>
          <w:i/>
          <w:iCs/>
        </w:rPr>
        <w:t xml:space="preserve">o </w:t>
      </w:r>
      <w:r w:rsidRPr="7E1D8CE6">
        <w:rPr>
          <w:b/>
          <w:bCs/>
          <w:i/>
          <w:iCs/>
        </w:rPr>
        <w:t>P</w:t>
      </w:r>
      <w:r w:rsidR="00440BCA" w:rsidRPr="7E1D8CE6">
        <w:rPr>
          <w:b/>
          <w:bCs/>
          <w:i/>
          <w:iCs/>
        </w:rPr>
        <w:t>ressupostaris</w:t>
      </w:r>
      <w:r w:rsidRPr="7E1D8CE6">
        <w:rPr>
          <w:b/>
          <w:bCs/>
          <w:i/>
          <w:iCs/>
        </w:rPr>
        <w:t xml:space="preserve"> per Saldo del concepte</w:t>
      </w:r>
    </w:p>
    <w:p w14:paraId="0FD0FE8D" w14:textId="67E42D42" w:rsidR="005764C9" w:rsidRDefault="005764C9" w:rsidP="004A5810">
      <w:pPr>
        <w:jc w:val="both"/>
        <w:rPr>
          <w:b/>
          <w:bCs/>
          <w:i/>
          <w:szCs w:val="24"/>
        </w:rPr>
      </w:pPr>
      <w:r>
        <w:rPr>
          <w:b/>
          <w:bCs/>
          <w:i/>
          <w:noProof/>
          <w:color w:val="2B579A"/>
          <w:szCs w:val="24"/>
          <w:shd w:val="clear" w:color="auto" w:fill="E6E6E6"/>
          <w:lang w:eastAsia="ca-ES"/>
        </w:rPr>
        <w:drawing>
          <wp:inline distT="0" distB="0" distL="0" distR="0" wp14:anchorId="4AB89EBD" wp14:editId="5858F60D">
            <wp:extent cx="5391150" cy="2228850"/>
            <wp:effectExtent l="0" t="0" r="0" b="0"/>
            <wp:docPr id="3" name="Imat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2209E" w14:textId="4BE15449" w:rsidR="005764C9" w:rsidRPr="00421A97" w:rsidRDefault="005764C9" w:rsidP="004A5810">
      <w:pPr>
        <w:jc w:val="both"/>
        <w:rPr>
          <w:bCs/>
          <w:szCs w:val="24"/>
        </w:rPr>
      </w:pPr>
      <w:r>
        <w:rPr>
          <w:bCs/>
          <w:szCs w:val="24"/>
        </w:rPr>
        <w:t xml:space="preserve">Seleccionar el concepte no pressupostari </w:t>
      </w:r>
      <w:r w:rsidRPr="005764C9">
        <w:rPr>
          <w:b/>
          <w:bCs/>
          <w:szCs w:val="24"/>
        </w:rPr>
        <w:t>20030</w:t>
      </w:r>
      <w:r>
        <w:rPr>
          <w:b/>
          <w:bCs/>
          <w:szCs w:val="24"/>
        </w:rPr>
        <w:t xml:space="preserve"> </w:t>
      </w:r>
      <w:r>
        <w:rPr>
          <w:bCs/>
          <w:szCs w:val="24"/>
        </w:rPr>
        <w:t>i des de l’opció</w:t>
      </w:r>
      <w:r w:rsidR="00D27E47">
        <w:rPr>
          <w:bCs/>
          <w:szCs w:val="24"/>
        </w:rPr>
        <w:t>:</w:t>
      </w:r>
      <w:r>
        <w:rPr>
          <w:bCs/>
          <w:szCs w:val="24"/>
        </w:rPr>
        <w:t xml:space="preserve"> </w:t>
      </w:r>
      <w:r w:rsidR="00421A97">
        <w:rPr>
          <w:bCs/>
          <w:i/>
          <w:szCs w:val="24"/>
        </w:rPr>
        <w:t xml:space="preserve">Traspàs de Saldos No pressupostaris per saldo &gt; </w:t>
      </w:r>
      <w:r w:rsidR="00421A97" w:rsidRPr="00421A97">
        <w:rPr>
          <w:b/>
          <w:bCs/>
          <w:i/>
          <w:szCs w:val="24"/>
        </w:rPr>
        <w:t>Incorporació a l’exercici següent els conceptes marcats</w:t>
      </w:r>
      <w:r w:rsidR="00304519">
        <w:rPr>
          <w:b/>
          <w:bCs/>
          <w:i/>
          <w:szCs w:val="24"/>
        </w:rPr>
        <w:t>,</w:t>
      </w:r>
      <w:r w:rsidR="00421A97">
        <w:rPr>
          <w:bCs/>
          <w:i/>
          <w:szCs w:val="24"/>
        </w:rPr>
        <w:t xml:space="preserve"> </w:t>
      </w:r>
      <w:r w:rsidR="00304519">
        <w:rPr>
          <w:bCs/>
          <w:szCs w:val="24"/>
        </w:rPr>
        <w:t>traspassar</w:t>
      </w:r>
      <w:r w:rsidR="00421A97">
        <w:rPr>
          <w:bCs/>
          <w:szCs w:val="24"/>
        </w:rPr>
        <w:t xml:space="preserve"> el saldo del concepte a l’exercici següent.</w:t>
      </w:r>
    </w:p>
    <w:p w14:paraId="0CC18D89" w14:textId="77777777" w:rsidR="00CB539A" w:rsidRDefault="00421A97" w:rsidP="7E1D8CE6">
      <w:pPr>
        <w:jc w:val="both"/>
        <w:rPr>
          <w:bCs/>
          <w:szCs w:val="24"/>
        </w:rPr>
      </w:pPr>
      <w:r>
        <w:rPr>
          <w:bCs/>
          <w:noProof/>
          <w:color w:val="2B579A"/>
          <w:szCs w:val="24"/>
          <w:shd w:val="clear" w:color="auto" w:fill="E6E6E6"/>
          <w:lang w:eastAsia="ca-ES"/>
        </w:rPr>
        <w:lastRenderedPageBreak/>
        <w:drawing>
          <wp:inline distT="0" distB="0" distL="0" distR="0" wp14:anchorId="6D691181" wp14:editId="0D544B8C">
            <wp:extent cx="5391150" cy="2590800"/>
            <wp:effectExtent l="0" t="0" r="0" b="0"/>
            <wp:docPr id="4" name="Imat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A1D70" w14:textId="785F8480" w:rsidR="00D91AEF" w:rsidRPr="002D7E7A" w:rsidRDefault="20AD1E0D" w:rsidP="7E1D8CE6">
      <w:pPr>
        <w:jc w:val="both"/>
        <w:rPr>
          <w:bCs/>
          <w:szCs w:val="24"/>
          <w:u w:val="single"/>
        </w:rPr>
      </w:pPr>
      <w:r w:rsidRPr="002D7E7A">
        <w:rPr>
          <w:b/>
          <w:bCs/>
          <w:u w:val="single"/>
        </w:rPr>
        <w:t>b) Aportacions a càrrec de l’entitat local</w:t>
      </w:r>
    </w:p>
    <w:p w14:paraId="7B310376" w14:textId="2299DB27" w:rsidR="00D91AEF" w:rsidRDefault="00421A97" w:rsidP="7E1D8CE6">
      <w:pPr>
        <w:jc w:val="both"/>
      </w:pPr>
      <w:r w:rsidRPr="7E1D8CE6">
        <w:t xml:space="preserve">Pel que fa a les aportacions </w:t>
      </w:r>
      <w:r w:rsidR="00D27E47" w:rsidRPr="7E1D8CE6">
        <w:t>a càrrec</w:t>
      </w:r>
      <w:r w:rsidRPr="7E1D8CE6">
        <w:t xml:space="preserve"> de l’entitat local</w:t>
      </w:r>
      <w:r w:rsidR="6BD7AF29" w:rsidRPr="7E1D8CE6">
        <w:t xml:space="preserve"> corresponents al mes de desembre</w:t>
      </w:r>
      <w:r w:rsidRPr="7E1D8CE6">
        <w:t>,</w:t>
      </w:r>
      <w:r w:rsidR="00D27E47" w:rsidRPr="7E1D8CE6">
        <w:t xml:space="preserve"> </w:t>
      </w:r>
      <w:r w:rsidR="45633131" w:rsidRPr="7E1D8CE6">
        <w:t>s’imputaran en el pressupost</w:t>
      </w:r>
      <w:r w:rsidR="7FFF90A5" w:rsidRPr="7E1D8CE6">
        <w:t xml:space="preserve"> de despeses</w:t>
      </w:r>
      <w:r w:rsidR="00CB539A">
        <w:rPr>
          <w:rStyle w:val="Refdenotaalpie"/>
        </w:rPr>
        <w:footnoteReference w:id="1"/>
      </w:r>
      <w:r w:rsidR="45633131" w:rsidRPr="7E1D8CE6">
        <w:t xml:space="preserve"> de l’exercici següent</w:t>
      </w:r>
      <w:r w:rsidRPr="7E1D8CE6">
        <w:t xml:space="preserve">. </w:t>
      </w:r>
    </w:p>
    <w:p w14:paraId="1BD7CD8D" w14:textId="3C959264" w:rsidR="00E817F1" w:rsidRDefault="00E817F1" w:rsidP="00E817F1">
      <w:pPr>
        <w:spacing w:after="0" w:line="240" w:lineRule="auto"/>
        <w:jc w:val="both"/>
        <w:rPr>
          <w:rFonts w:cstheme="minorHAnsi"/>
          <w:iCs/>
        </w:rPr>
      </w:pPr>
      <w:r w:rsidRPr="00E817F1">
        <w:rPr>
          <w:rFonts w:cstheme="minorHAnsi"/>
          <w:iCs/>
        </w:rPr>
        <w:lastRenderedPageBreak/>
        <w:t>Per a la comptabilització de la mateixa, caldrà:</w:t>
      </w:r>
    </w:p>
    <w:p w14:paraId="43961F86" w14:textId="77777777" w:rsidR="00E817F1" w:rsidRPr="00E817F1" w:rsidRDefault="00E817F1" w:rsidP="00E817F1">
      <w:pPr>
        <w:spacing w:after="0" w:line="240" w:lineRule="auto"/>
        <w:jc w:val="both"/>
        <w:rPr>
          <w:rFonts w:cstheme="minorHAnsi"/>
          <w:iCs/>
        </w:rPr>
      </w:pPr>
    </w:p>
    <w:p w14:paraId="4CB5AED1" w14:textId="7CE4DA6D" w:rsidR="00E817F1" w:rsidRDefault="00E817F1" w:rsidP="00E817F1">
      <w:pPr>
        <w:pStyle w:val="Prrafodelista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cstheme="minorHAnsi"/>
          <w:iCs/>
        </w:rPr>
      </w:pPr>
      <w:r w:rsidRPr="00E817F1">
        <w:rPr>
          <w:rFonts w:cstheme="minorHAnsi"/>
          <w:iCs/>
        </w:rPr>
        <w:t>Durant el mes de desembre de l’exercici en curs, caldrà fer l’assentament comptable directe següent:</w:t>
      </w:r>
    </w:p>
    <w:p w14:paraId="22481D3B" w14:textId="77777777" w:rsidR="00E817F1" w:rsidRPr="00E817F1" w:rsidRDefault="00E817F1" w:rsidP="00E817F1">
      <w:pPr>
        <w:pStyle w:val="Prrafodelista"/>
        <w:spacing w:after="0" w:line="240" w:lineRule="auto"/>
        <w:ind w:left="284"/>
        <w:jc w:val="both"/>
        <w:rPr>
          <w:rFonts w:cstheme="minorHAnsi"/>
          <w:iCs/>
        </w:rPr>
      </w:pPr>
    </w:p>
    <w:tbl>
      <w:tblPr>
        <w:tblW w:w="850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8"/>
        <w:gridCol w:w="650"/>
        <w:gridCol w:w="2106"/>
        <w:gridCol w:w="563"/>
        <w:gridCol w:w="1966"/>
        <w:gridCol w:w="708"/>
        <w:gridCol w:w="1269"/>
      </w:tblGrid>
      <w:tr w:rsidR="00E817F1" w:rsidRPr="00E817F1" w14:paraId="4BAEE977" w14:textId="77777777" w:rsidTr="0064510E">
        <w:trPr>
          <w:trHeight w:val="787"/>
        </w:trPr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08ABE" w14:textId="77777777" w:rsidR="00E817F1" w:rsidRPr="00CB539A" w:rsidRDefault="00E817F1" w:rsidP="00E817F1">
            <w:pPr>
              <w:spacing w:after="0" w:line="240" w:lineRule="auto"/>
              <w:rPr>
                <w:rFonts w:eastAsia="Times New Roman" w:cstheme="minorHAnsi"/>
                <w:lang w:eastAsia="ca-ES"/>
              </w:rPr>
            </w:pPr>
            <w:r w:rsidRPr="00CB539A">
              <w:rPr>
                <w:rFonts w:eastAsia="Times New Roman" w:cstheme="minorHAnsi"/>
                <w:bdr w:val="none" w:sz="0" w:space="0" w:color="auto" w:frame="1"/>
                <w:lang w:eastAsia="ca-ES"/>
              </w:rPr>
              <w:t xml:space="preserve">Import de la despesa </w:t>
            </w:r>
            <w:r w:rsidRPr="00E817F1">
              <w:rPr>
                <w:rFonts w:eastAsia="Times New Roman" w:cstheme="minorHAnsi"/>
                <w:bdr w:val="none" w:sz="0" w:space="0" w:color="auto" w:frame="1"/>
                <w:lang w:eastAsia="ca-ES"/>
              </w:rPr>
              <w:t>meritada</w:t>
            </w:r>
            <w:r w:rsidRPr="00CB539A">
              <w:rPr>
                <w:rFonts w:eastAsia="Times New Roman" w:cstheme="minorHAnsi"/>
                <w:bdr w:val="none" w:sz="0" w:space="0" w:color="auto" w:frame="1"/>
                <w:lang w:eastAsia="ca-ES"/>
              </w:rPr>
              <w:t xml:space="preserve">  </w:t>
            </w:r>
          </w:p>
        </w:tc>
        <w:tc>
          <w:tcPr>
            <w:tcW w:w="5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78545" w14:textId="77777777" w:rsidR="00E817F1" w:rsidRPr="00CB539A" w:rsidRDefault="00E817F1" w:rsidP="00E817F1">
            <w:pPr>
              <w:spacing w:after="0" w:line="240" w:lineRule="auto"/>
              <w:rPr>
                <w:rFonts w:eastAsia="Times New Roman" w:cstheme="minorHAnsi"/>
                <w:lang w:eastAsia="ca-ES"/>
              </w:rPr>
            </w:pPr>
            <w:r w:rsidRPr="00E817F1">
              <w:rPr>
                <w:rFonts w:eastAsia="Times New Roman" w:cstheme="minorHAnsi"/>
                <w:bdr w:val="none" w:sz="0" w:space="0" w:color="auto" w:frame="1"/>
                <w:lang w:eastAsia="ca-ES"/>
              </w:rPr>
              <w:t>642</w:t>
            </w:r>
            <w:r w:rsidRPr="00CB539A">
              <w:rPr>
                <w:rFonts w:eastAsia="Times New Roman" w:cstheme="minorHAnsi"/>
                <w:bdr w:val="none" w:sz="0" w:space="0" w:color="auto" w:frame="1"/>
                <w:lang w:eastAsia="ca-ES"/>
              </w:rPr>
              <w:t xml:space="preserve">  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097C9" w14:textId="77777777" w:rsidR="00E817F1" w:rsidRPr="00CB539A" w:rsidRDefault="00E817F1" w:rsidP="00E817F1">
            <w:pPr>
              <w:spacing w:after="0" w:line="240" w:lineRule="auto"/>
              <w:rPr>
                <w:rFonts w:eastAsia="Times New Roman" w:cstheme="minorHAnsi"/>
                <w:lang w:eastAsia="ca-ES"/>
              </w:rPr>
            </w:pPr>
            <w:r w:rsidRPr="00E817F1">
              <w:rPr>
                <w:rFonts w:cstheme="minorHAnsi"/>
                <w:i/>
                <w:color w:val="000000"/>
              </w:rPr>
              <w:t>Cotitzacions socials a càrrec de l’ocupador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BCD31" w14:textId="77777777" w:rsidR="00E817F1" w:rsidRPr="00CB539A" w:rsidRDefault="00E817F1" w:rsidP="00E817F1">
            <w:pPr>
              <w:spacing w:after="0" w:line="240" w:lineRule="auto"/>
              <w:rPr>
                <w:rFonts w:eastAsia="Times New Roman" w:cstheme="minorHAnsi"/>
                <w:lang w:eastAsia="ca-ES"/>
              </w:rPr>
            </w:pPr>
            <w:r w:rsidRPr="00CB539A">
              <w:rPr>
                <w:rFonts w:eastAsia="Times New Roman" w:cstheme="minorHAnsi"/>
                <w:bdr w:val="none" w:sz="0" w:space="0" w:color="auto" w:frame="1"/>
                <w:lang w:eastAsia="ca-ES"/>
              </w:rPr>
              <w:t>a  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B9C1B" w14:textId="77777777" w:rsidR="00E817F1" w:rsidRPr="00CB539A" w:rsidRDefault="00E817F1" w:rsidP="00E817F1">
            <w:pPr>
              <w:spacing w:after="0" w:line="240" w:lineRule="auto"/>
              <w:rPr>
                <w:rFonts w:eastAsia="Times New Roman" w:cstheme="minorHAnsi"/>
                <w:lang w:eastAsia="ca-ES"/>
              </w:rPr>
            </w:pPr>
            <w:r w:rsidRPr="00E817F1">
              <w:rPr>
                <w:rFonts w:cstheme="minorHAnsi"/>
                <w:i/>
                <w:iCs/>
              </w:rPr>
              <w:t>Creditors per operacions aplicables a pressupost en períodes posteriors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08058" w14:textId="77777777" w:rsidR="00E817F1" w:rsidRPr="00CB539A" w:rsidRDefault="00E817F1" w:rsidP="00E817F1">
            <w:pPr>
              <w:spacing w:after="0" w:line="240" w:lineRule="auto"/>
              <w:rPr>
                <w:rFonts w:eastAsia="Times New Roman" w:cstheme="minorHAnsi"/>
                <w:lang w:eastAsia="ca-ES"/>
              </w:rPr>
            </w:pPr>
            <w:r w:rsidRPr="00E817F1">
              <w:rPr>
                <w:rFonts w:eastAsia="Times New Roman" w:cstheme="minorHAnsi"/>
                <w:bdr w:val="none" w:sz="0" w:space="0" w:color="auto" w:frame="1"/>
                <w:lang w:eastAsia="ca-ES"/>
              </w:rPr>
              <w:t>4130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85CDB" w14:textId="77777777" w:rsidR="00E817F1" w:rsidRPr="00CB539A" w:rsidRDefault="00E817F1" w:rsidP="00E817F1">
            <w:pPr>
              <w:spacing w:after="0" w:line="240" w:lineRule="auto"/>
              <w:rPr>
                <w:rFonts w:eastAsia="Times New Roman" w:cstheme="minorHAnsi"/>
                <w:lang w:eastAsia="ca-ES"/>
              </w:rPr>
            </w:pPr>
            <w:r w:rsidRPr="00E817F1">
              <w:rPr>
                <w:rFonts w:eastAsia="Times New Roman" w:cstheme="minorHAnsi"/>
                <w:bdr w:val="none" w:sz="0" w:space="0" w:color="auto" w:frame="1"/>
                <w:lang w:eastAsia="ca-ES"/>
              </w:rPr>
              <w:t>Import de la despesa meritada</w:t>
            </w:r>
          </w:p>
        </w:tc>
      </w:tr>
    </w:tbl>
    <w:p w14:paraId="3CC24024" w14:textId="77777777" w:rsidR="00CB539A" w:rsidRDefault="00CB539A" w:rsidP="00E817F1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</w:rPr>
      </w:pPr>
    </w:p>
    <w:p w14:paraId="589B8106" w14:textId="33B7631D" w:rsidR="00CE3F4F" w:rsidRDefault="00CE3F4F" w:rsidP="00CE3F4F">
      <w:pPr>
        <w:jc w:val="both"/>
      </w:pPr>
      <w:r>
        <w:t>Per fer l’assentament comptable directe</w:t>
      </w:r>
      <w:r w:rsidRPr="7E1D8CE6">
        <w:t xml:space="preserve"> cal anar a la </w:t>
      </w:r>
      <w:r w:rsidRPr="7E1D8CE6">
        <w:rPr>
          <w:b/>
          <w:bCs/>
        </w:rPr>
        <w:t>ruta</w:t>
      </w:r>
      <w:r w:rsidRPr="7E1D8CE6">
        <w:t xml:space="preserve"> següent:</w:t>
      </w:r>
    </w:p>
    <w:p w14:paraId="5043033F" w14:textId="4F65B091" w:rsidR="005F6741" w:rsidRDefault="005F6741" w:rsidP="005F6741">
      <w:pPr>
        <w:jc w:val="both"/>
        <w:rPr>
          <w:b/>
          <w:bCs/>
          <w:i/>
          <w:iCs/>
        </w:rPr>
      </w:pPr>
      <w:r>
        <w:rPr>
          <w:i/>
          <w:iCs/>
        </w:rPr>
        <w:t>Comptabilitat general &gt; Introducció d’assentaments</w:t>
      </w:r>
      <w:r w:rsidRPr="7E1D8CE6">
        <w:rPr>
          <w:i/>
          <w:iCs/>
        </w:rPr>
        <w:t xml:space="preserve"> &gt; </w:t>
      </w:r>
      <w:r w:rsidRPr="005F6741">
        <w:rPr>
          <w:b/>
          <w:i/>
          <w:iCs/>
        </w:rPr>
        <w:t>Comptabilització d’assentaments</w:t>
      </w:r>
    </w:p>
    <w:p w14:paraId="0E167DDD" w14:textId="6C7FBEFB" w:rsidR="00F121D2" w:rsidRDefault="005F6741" w:rsidP="00E817F1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</w:rPr>
      </w:pPr>
      <w:r>
        <w:rPr>
          <w:rFonts w:cstheme="minorHAnsi"/>
          <w:noProof/>
          <w:color w:val="000000"/>
          <w:lang w:eastAsia="ca-ES"/>
        </w:rPr>
        <w:drawing>
          <wp:inline distT="0" distB="0" distL="0" distR="0" wp14:anchorId="2A5D0F9E" wp14:editId="67D1A417">
            <wp:extent cx="5495925" cy="2390775"/>
            <wp:effectExtent l="0" t="0" r="9525" b="9525"/>
            <wp:docPr id="8" name="Imat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72D34" w14:textId="77777777" w:rsidR="00F121D2" w:rsidRDefault="00F121D2" w:rsidP="00E817F1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</w:rPr>
      </w:pPr>
    </w:p>
    <w:p w14:paraId="633C69EA" w14:textId="5FAC9282" w:rsidR="002D7E7A" w:rsidRDefault="002D7E7A" w:rsidP="00E817F1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</w:rPr>
      </w:pPr>
      <w:r>
        <w:rPr>
          <w:rFonts w:cstheme="minorHAnsi"/>
          <w:noProof/>
          <w:color w:val="000000"/>
          <w:lang w:eastAsia="ca-ES"/>
        </w:rPr>
        <w:drawing>
          <wp:inline distT="0" distB="0" distL="0" distR="0" wp14:anchorId="3F53D84C" wp14:editId="3BDC0807">
            <wp:extent cx="5454595" cy="2638425"/>
            <wp:effectExtent l="0" t="0" r="0" b="0"/>
            <wp:docPr id="9" name="Imat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898" cy="263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DD3EC" w14:textId="77777777" w:rsidR="00F121D2" w:rsidRDefault="00F121D2" w:rsidP="00E817F1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</w:rPr>
      </w:pPr>
    </w:p>
    <w:p w14:paraId="032CCACA" w14:textId="77777777" w:rsidR="002D7E7A" w:rsidRPr="00E817F1" w:rsidRDefault="002D7E7A" w:rsidP="00E817F1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</w:rPr>
      </w:pPr>
    </w:p>
    <w:p w14:paraId="3D067CF7" w14:textId="77777777" w:rsidR="00E817F1" w:rsidRPr="00E817F1" w:rsidRDefault="00E817F1" w:rsidP="00E817F1">
      <w:pPr>
        <w:pStyle w:val="Prrafodelista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ca-ES"/>
        </w:rPr>
      </w:pPr>
      <w:r w:rsidRPr="00E817F1">
        <w:rPr>
          <w:rFonts w:eastAsia="Times New Roman" w:cstheme="minorHAnsi"/>
          <w:bCs/>
          <w:bdr w:val="none" w:sz="0" w:space="0" w:color="auto" w:frame="1"/>
          <w:lang w:eastAsia="ca-ES"/>
        </w:rPr>
        <w:lastRenderedPageBreak/>
        <w:t xml:space="preserve">A l’exercici següent, </w:t>
      </w:r>
      <w:r>
        <w:rPr>
          <w:rFonts w:eastAsia="Times New Roman" w:cstheme="minorHAnsi"/>
          <w:bCs/>
          <w:bdr w:val="none" w:sz="0" w:space="0" w:color="auto" w:frame="1"/>
          <w:lang w:eastAsia="ca-ES"/>
        </w:rPr>
        <w:t>caldrà reconèixer la obligació per l’import meritat en l’exercici anterior</w:t>
      </w:r>
    </w:p>
    <w:p w14:paraId="513B360C" w14:textId="77777777" w:rsidR="00E817F1" w:rsidRDefault="00E817F1" w:rsidP="00E817F1">
      <w:pPr>
        <w:pStyle w:val="Prrafodelista"/>
        <w:spacing w:after="0" w:line="240" w:lineRule="auto"/>
        <w:ind w:left="284"/>
        <w:jc w:val="both"/>
        <w:rPr>
          <w:rFonts w:eastAsia="Times New Roman" w:cstheme="minorHAnsi"/>
          <w:bCs/>
          <w:bdr w:val="none" w:sz="0" w:space="0" w:color="auto" w:frame="1"/>
          <w:lang w:eastAsia="ca-ES"/>
        </w:rPr>
      </w:pPr>
    </w:p>
    <w:p w14:paraId="566F65F0" w14:textId="549A7D4E" w:rsidR="00CB539A" w:rsidRPr="00E817F1" w:rsidRDefault="00E817F1" w:rsidP="00E817F1">
      <w:pPr>
        <w:pStyle w:val="Prrafodelista"/>
        <w:spacing w:after="0" w:line="240" w:lineRule="auto"/>
        <w:ind w:left="284"/>
        <w:jc w:val="both"/>
        <w:rPr>
          <w:rFonts w:eastAsia="Times New Roman" w:cstheme="minorHAnsi"/>
          <w:lang w:eastAsia="ca-ES"/>
        </w:rPr>
      </w:pPr>
      <w:r>
        <w:rPr>
          <w:rFonts w:eastAsia="Times New Roman" w:cstheme="minorHAnsi"/>
          <w:bCs/>
          <w:bdr w:val="none" w:sz="0" w:space="0" w:color="auto" w:frame="1"/>
          <w:lang w:eastAsia="ca-ES"/>
        </w:rPr>
        <w:t>E</w:t>
      </w:r>
      <w:r w:rsidR="00CB539A" w:rsidRPr="00E817F1">
        <w:rPr>
          <w:rFonts w:eastAsia="Times New Roman" w:cstheme="minorHAnsi"/>
          <w:bCs/>
          <w:bdr w:val="none" w:sz="0" w:space="0" w:color="auto" w:frame="1"/>
          <w:lang w:eastAsia="ca-ES"/>
        </w:rPr>
        <w:t>n el moment en què es dicti l’acte de reconeixement de les obligacions en el pressupost</w:t>
      </w:r>
      <w:r w:rsidR="00CB539A" w:rsidRPr="00E817F1">
        <w:rPr>
          <w:rFonts w:eastAsia="Times New Roman" w:cstheme="minorHAnsi"/>
          <w:bdr w:val="none" w:sz="0" w:space="0" w:color="auto" w:frame="1"/>
          <w:lang w:eastAsia="ca-ES"/>
        </w:rPr>
        <w:t xml:space="preserve">, </w:t>
      </w:r>
      <w:r>
        <w:rPr>
          <w:rFonts w:eastAsia="Times New Roman" w:cstheme="minorHAnsi"/>
          <w:bdr w:val="none" w:sz="0" w:space="0" w:color="auto" w:frame="1"/>
          <w:lang w:eastAsia="ca-ES"/>
        </w:rPr>
        <w:t xml:space="preserve">a més de gravar l’operació pressupostària (ADO o O) corresponent, </w:t>
      </w:r>
      <w:r w:rsidR="00CB539A" w:rsidRPr="00E817F1">
        <w:rPr>
          <w:rFonts w:eastAsia="Times New Roman" w:cstheme="minorHAnsi"/>
          <w:bdr w:val="none" w:sz="0" w:space="0" w:color="auto" w:frame="1"/>
          <w:lang w:eastAsia="ca-ES"/>
        </w:rPr>
        <w:t>cal</w:t>
      </w:r>
      <w:r>
        <w:rPr>
          <w:rFonts w:eastAsia="Times New Roman" w:cstheme="minorHAnsi"/>
          <w:bdr w:val="none" w:sz="0" w:space="0" w:color="auto" w:frame="1"/>
          <w:lang w:eastAsia="ca-ES"/>
        </w:rPr>
        <w:t>drà</w:t>
      </w:r>
      <w:r w:rsidR="00CB539A" w:rsidRPr="00E817F1">
        <w:rPr>
          <w:rFonts w:eastAsia="Times New Roman" w:cstheme="minorHAnsi"/>
          <w:bdr w:val="none" w:sz="0" w:space="0" w:color="auto" w:frame="1"/>
          <w:lang w:eastAsia="ca-ES"/>
        </w:rPr>
        <w:t xml:space="preserve"> gravar l’assentament següent:  </w:t>
      </w:r>
    </w:p>
    <w:tbl>
      <w:tblPr>
        <w:tblW w:w="85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7"/>
        <w:gridCol w:w="708"/>
        <w:gridCol w:w="1984"/>
        <w:gridCol w:w="567"/>
        <w:gridCol w:w="1985"/>
        <w:gridCol w:w="709"/>
        <w:gridCol w:w="1275"/>
      </w:tblGrid>
      <w:tr w:rsidR="00CB539A" w:rsidRPr="00CB539A" w14:paraId="66CA579D" w14:textId="77777777" w:rsidTr="00E817F1">
        <w:trPr>
          <w:trHeight w:val="84"/>
        </w:trPr>
        <w:tc>
          <w:tcPr>
            <w:tcW w:w="850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42F45" w14:textId="77777777" w:rsidR="00E817F1" w:rsidRPr="00E817F1" w:rsidRDefault="00E817F1" w:rsidP="00E817F1">
            <w:pPr>
              <w:spacing w:after="0" w:line="240" w:lineRule="auto"/>
              <w:ind w:left="176"/>
              <w:rPr>
                <w:rFonts w:eastAsia="Times New Roman" w:cstheme="minorHAnsi"/>
                <w:bCs/>
                <w:sz w:val="20"/>
                <w:bdr w:val="none" w:sz="0" w:space="0" w:color="auto" w:frame="1"/>
                <w:lang w:eastAsia="ca-ES"/>
              </w:rPr>
            </w:pPr>
          </w:p>
          <w:p w14:paraId="33CE936A" w14:textId="77777777" w:rsidR="00CB539A" w:rsidRDefault="00CB539A" w:rsidP="00E817F1">
            <w:pPr>
              <w:spacing w:after="0" w:line="240" w:lineRule="auto"/>
              <w:ind w:left="176"/>
              <w:rPr>
                <w:rFonts w:eastAsia="Times New Roman" w:cstheme="minorHAnsi"/>
                <w:bdr w:val="none" w:sz="0" w:space="0" w:color="auto" w:frame="1"/>
                <w:lang w:eastAsia="ca-ES"/>
              </w:rPr>
            </w:pPr>
            <w:r w:rsidRPr="00CB539A">
              <w:rPr>
                <w:rFonts w:eastAsia="Times New Roman" w:cstheme="minorHAnsi"/>
                <w:bCs/>
                <w:bdr w:val="none" w:sz="0" w:space="0" w:color="auto" w:frame="1"/>
                <w:lang w:eastAsia="ca-ES"/>
              </w:rPr>
              <w:t>D</w:t>
            </w:r>
            <w:r w:rsidR="00E817F1" w:rsidRPr="00E817F1">
              <w:rPr>
                <w:rFonts w:eastAsia="Times New Roman" w:cstheme="minorHAnsi"/>
                <w:bCs/>
                <w:bdr w:val="none" w:sz="0" w:space="0" w:color="auto" w:frame="1"/>
                <w:lang w:eastAsia="ca-ES"/>
              </w:rPr>
              <w:t>espeses diferides no financeres_</w:t>
            </w:r>
            <w:r w:rsidR="00E817F1">
              <w:rPr>
                <w:rFonts w:eastAsia="Times New Roman" w:cstheme="minorHAnsi"/>
                <w:bCs/>
                <w:bdr w:val="none" w:sz="0" w:space="0" w:color="auto" w:frame="1"/>
                <w:lang w:eastAsia="ca-ES"/>
              </w:rPr>
              <w:t>A</w:t>
            </w:r>
            <w:r w:rsidR="00E817F1" w:rsidRPr="00E817F1">
              <w:rPr>
                <w:rFonts w:eastAsia="Times New Roman" w:cstheme="minorHAnsi"/>
                <w:bCs/>
                <w:bdr w:val="none" w:sz="0" w:space="0" w:color="auto" w:frame="1"/>
                <w:lang w:eastAsia="ca-ES"/>
              </w:rPr>
              <w:t xml:space="preserve">ssentament comptable amb data de </w:t>
            </w:r>
            <w:r w:rsidRPr="00CB539A">
              <w:rPr>
                <w:rFonts w:eastAsia="Times New Roman" w:cstheme="minorHAnsi"/>
                <w:bdr w:val="none" w:sz="0" w:space="0" w:color="auto" w:frame="1"/>
                <w:lang w:eastAsia="ca-ES"/>
              </w:rPr>
              <w:t>comptabilització de l’ADO/O  </w:t>
            </w:r>
          </w:p>
          <w:p w14:paraId="75E82B19" w14:textId="253D1801" w:rsidR="00E817F1" w:rsidRPr="00CB539A" w:rsidRDefault="00E817F1" w:rsidP="00E817F1">
            <w:pPr>
              <w:spacing w:after="0" w:line="240" w:lineRule="auto"/>
              <w:ind w:left="176"/>
              <w:rPr>
                <w:rFonts w:eastAsia="Times New Roman" w:cstheme="minorHAnsi"/>
                <w:sz w:val="12"/>
                <w:lang w:eastAsia="ca-ES"/>
              </w:rPr>
            </w:pPr>
          </w:p>
        </w:tc>
      </w:tr>
      <w:tr w:rsidR="00E817F1" w:rsidRPr="00CB539A" w14:paraId="2A55E86C" w14:textId="77777777" w:rsidTr="00BE0E7D">
        <w:trPr>
          <w:trHeight w:val="39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013D9" w14:textId="77777777" w:rsidR="00CB539A" w:rsidRPr="00CB539A" w:rsidRDefault="00CB539A" w:rsidP="00E817F1">
            <w:pPr>
              <w:spacing w:after="0" w:line="240" w:lineRule="auto"/>
              <w:rPr>
                <w:rFonts w:eastAsia="Times New Roman" w:cstheme="minorHAnsi"/>
                <w:lang w:eastAsia="ca-ES"/>
              </w:rPr>
            </w:pPr>
            <w:r w:rsidRPr="00CB539A">
              <w:rPr>
                <w:rFonts w:eastAsia="Times New Roman" w:cstheme="minorHAnsi"/>
                <w:bdr w:val="none" w:sz="0" w:space="0" w:color="auto" w:frame="1"/>
                <w:lang w:eastAsia="ca-ES"/>
              </w:rPr>
              <w:t>Import de la despesa reconeguda en el 2020 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668A9" w14:textId="77777777" w:rsidR="00CB539A" w:rsidRPr="00CB539A" w:rsidRDefault="00CB539A" w:rsidP="00E817F1">
            <w:pPr>
              <w:spacing w:after="0" w:line="240" w:lineRule="auto"/>
              <w:rPr>
                <w:rFonts w:eastAsia="Times New Roman" w:cstheme="minorHAnsi"/>
                <w:lang w:eastAsia="ca-ES"/>
              </w:rPr>
            </w:pPr>
            <w:r w:rsidRPr="00CB539A">
              <w:rPr>
                <w:rFonts w:eastAsia="Times New Roman" w:cstheme="minorHAnsi"/>
                <w:bdr w:val="none" w:sz="0" w:space="0" w:color="auto" w:frame="1"/>
                <w:lang w:eastAsia="ca-ES"/>
              </w:rPr>
              <w:t>4130  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A0CE9" w14:textId="77777777" w:rsidR="00CB539A" w:rsidRPr="00CB539A" w:rsidRDefault="00CB539A" w:rsidP="00E817F1">
            <w:pPr>
              <w:spacing w:after="0" w:line="240" w:lineRule="auto"/>
              <w:rPr>
                <w:rFonts w:eastAsia="Times New Roman" w:cstheme="minorHAnsi"/>
                <w:lang w:eastAsia="ca-ES"/>
              </w:rPr>
            </w:pPr>
            <w:r w:rsidRPr="00CB539A">
              <w:rPr>
                <w:rFonts w:eastAsia="Times New Roman" w:cstheme="minorHAnsi"/>
                <w:bdr w:val="none" w:sz="0" w:space="0" w:color="auto" w:frame="1"/>
                <w:lang w:eastAsia="ca-ES"/>
              </w:rPr>
              <w:t>Creditors per operacions aplicables a pressupost en exercicis posteriors 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E2799" w14:textId="77777777" w:rsidR="00CB539A" w:rsidRPr="00CB539A" w:rsidRDefault="00CB539A" w:rsidP="00E817F1">
            <w:pPr>
              <w:spacing w:after="0" w:line="240" w:lineRule="auto"/>
              <w:rPr>
                <w:rFonts w:eastAsia="Times New Roman" w:cstheme="minorHAnsi"/>
                <w:lang w:eastAsia="ca-ES"/>
              </w:rPr>
            </w:pPr>
            <w:r w:rsidRPr="00CB539A">
              <w:rPr>
                <w:rFonts w:eastAsia="Times New Roman" w:cstheme="minorHAnsi"/>
                <w:bdr w:val="none" w:sz="0" w:space="0" w:color="auto" w:frame="1"/>
                <w:lang w:eastAsia="ca-ES"/>
              </w:rPr>
              <w:t>a 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21A70" w14:textId="77777777" w:rsidR="00CB539A" w:rsidRPr="00CB539A" w:rsidRDefault="00CB539A" w:rsidP="00E817F1">
            <w:pPr>
              <w:spacing w:after="0" w:line="240" w:lineRule="auto"/>
              <w:rPr>
                <w:rFonts w:eastAsia="Times New Roman" w:cstheme="minorHAnsi"/>
                <w:lang w:eastAsia="ca-ES"/>
              </w:rPr>
            </w:pPr>
            <w:r w:rsidRPr="00CB539A">
              <w:rPr>
                <w:rFonts w:eastAsia="Times New Roman" w:cstheme="minorHAnsi"/>
                <w:bdr w:val="none" w:sz="0" w:space="0" w:color="auto" w:frame="1"/>
                <w:lang w:eastAsia="ca-ES"/>
              </w:rPr>
              <w:t>Compte de despeses  </w:t>
            </w:r>
          </w:p>
          <w:p w14:paraId="174CE5ED" w14:textId="1FC62FC6" w:rsidR="00CB539A" w:rsidRPr="00CB539A" w:rsidRDefault="00CB539A" w:rsidP="00E817F1">
            <w:pPr>
              <w:spacing w:after="0" w:line="240" w:lineRule="auto"/>
              <w:rPr>
                <w:rFonts w:eastAsia="Times New Roman" w:cstheme="minorHAnsi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D6127" w14:textId="77777777" w:rsidR="00CB539A" w:rsidRPr="00CB539A" w:rsidRDefault="00CB539A" w:rsidP="00E817F1">
            <w:pPr>
              <w:spacing w:after="0" w:line="240" w:lineRule="auto"/>
              <w:rPr>
                <w:rFonts w:eastAsia="Times New Roman" w:cstheme="minorHAnsi"/>
                <w:lang w:eastAsia="ca-ES"/>
              </w:rPr>
            </w:pPr>
            <w:r w:rsidRPr="00CB539A">
              <w:rPr>
                <w:rFonts w:eastAsia="Times New Roman" w:cstheme="minorHAnsi"/>
                <w:bdr w:val="none" w:sz="0" w:space="0" w:color="auto" w:frame="1"/>
                <w:lang w:eastAsia="ca-ES"/>
              </w:rPr>
              <w:t>6xxx  </w:t>
            </w:r>
          </w:p>
          <w:p w14:paraId="0E251962" w14:textId="11237FF8" w:rsidR="00CB539A" w:rsidRPr="00CB539A" w:rsidRDefault="00CB539A" w:rsidP="00E817F1">
            <w:pPr>
              <w:spacing w:after="0" w:line="240" w:lineRule="auto"/>
              <w:rPr>
                <w:rFonts w:eastAsia="Times New Roman" w:cstheme="minorHAnsi"/>
                <w:lang w:eastAsia="ca-ES"/>
              </w:rPr>
            </w:pPr>
            <w:r w:rsidRPr="00CB539A">
              <w:rPr>
                <w:rFonts w:eastAsia="Times New Roman" w:cstheme="minorHAnsi"/>
                <w:bdr w:val="none" w:sz="0" w:space="0" w:color="auto" w:frame="1"/>
                <w:lang w:eastAsia="ca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B7861" w14:textId="77777777" w:rsidR="00CB539A" w:rsidRPr="00CB539A" w:rsidRDefault="00CB539A" w:rsidP="00E817F1">
            <w:pPr>
              <w:spacing w:after="0" w:line="240" w:lineRule="auto"/>
              <w:rPr>
                <w:rFonts w:eastAsia="Times New Roman" w:cstheme="minorHAnsi"/>
                <w:lang w:eastAsia="ca-ES"/>
              </w:rPr>
            </w:pPr>
            <w:r w:rsidRPr="00CB539A">
              <w:rPr>
                <w:rFonts w:eastAsia="Times New Roman" w:cstheme="minorHAnsi"/>
                <w:bdr w:val="none" w:sz="0" w:space="0" w:color="auto" w:frame="1"/>
                <w:lang w:eastAsia="ca-ES"/>
              </w:rPr>
              <w:t>Import de la despesa reconeguda en el 2020  </w:t>
            </w:r>
          </w:p>
        </w:tc>
      </w:tr>
    </w:tbl>
    <w:p w14:paraId="07C90D59" w14:textId="77777777" w:rsidR="00CB539A" w:rsidRPr="00E817F1" w:rsidRDefault="00CB539A" w:rsidP="00E817F1">
      <w:pPr>
        <w:spacing w:after="0" w:line="240" w:lineRule="auto"/>
        <w:jc w:val="both"/>
        <w:rPr>
          <w:rFonts w:cstheme="minorHAnsi"/>
          <w:color w:val="000000"/>
        </w:rPr>
      </w:pPr>
    </w:p>
    <w:p w14:paraId="4711B8EB" w14:textId="77777777" w:rsidR="00CB539A" w:rsidRPr="00E817F1" w:rsidRDefault="00CB539A" w:rsidP="00E817F1">
      <w:pPr>
        <w:spacing w:after="0" w:line="240" w:lineRule="auto"/>
        <w:jc w:val="both"/>
        <w:rPr>
          <w:rFonts w:cstheme="minorHAnsi"/>
          <w:color w:val="000000"/>
        </w:rPr>
      </w:pPr>
    </w:p>
    <w:sectPr w:rsidR="00CB539A" w:rsidRPr="00E817F1" w:rsidSect="00CB539A">
      <w:headerReference w:type="default" r:id="rId21"/>
      <w:footerReference w:type="default" r:id="rId22"/>
      <w:pgSz w:w="11906" w:h="16838"/>
      <w:pgMar w:top="2977" w:right="1701" w:bottom="851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5182C" w14:textId="77777777" w:rsidR="000877DA" w:rsidRDefault="000877DA" w:rsidP="000D572B">
      <w:pPr>
        <w:spacing w:after="0" w:line="240" w:lineRule="auto"/>
      </w:pPr>
      <w:r>
        <w:separator/>
      </w:r>
    </w:p>
  </w:endnote>
  <w:endnote w:type="continuationSeparator" w:id="0">
    <w:p w14:paraId="3DE9D2CB" w14:textId="77777777" w:rsidR="000877DA" w:rsidRDefault="000877DA" w:rsidP="000D5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7E1D8CE6" w14:paraId="67E86376" w14:textId="77777777" w:rsidTr="7E1D8CE6">
      <w:tc>
        <w:tcPr>
          <w:tcW w:w="2830" w:type="dxa"/>
        </w:tcPr>
        <w:p w14:paraId="3AE881CF" w14:textId="10E9AD9C" w:rsidR="7E1D8CE6" w:rsidRDefault="7E1D8CE6" w:rsidP="7E1D8CE6">
          <w:pPr>
            <w:pStyle w:val="Encabezado"/>
            <w:ind w:left="-115"/>
          </w:pPr>
        </w:p>
      </w:tc>
      <w:tc>
        <w:tcPr>
          <w:tcW w:w="2830" w:type="dxa"/>
        </w:tcPr>
        <w:p w14:paraId="3BE5355A" w14:textId="05DBAE74" w:rsidR="7E1D8CE6" w:rsidRDefault="7E1D8CE6" w:rsidP="7E1D8CE6">
          <w:pPr>
            <w:pStyle w:val="Encabezado"/>
            <w:jc w:val="center"/>
          </w:pPr>
        </w:p>
      </w:tc>
      <w:tc>
        <w:tcPr>
          <w:tcW w:w="2830" w:type="dxa"/>
        </w:tcPr>
        <w:p w14:paraId="3B1CA18F" w14:textId="2FBDF8DB" w:rsidR="7E1D8CE6" w:rsidRDefault="7E1D8CE6" w:rsidP="7E1D8CE6">
          <w:pPr>
            <w:pStyle w:val="Encabezado"/>
            <w:ind w:right="-115"/>
            <w:jc w:val="right"/>
          </w:pPr>
        </w:p>
      </w:tc>
    </w:tr>
  </w:tbl>
  <w:p w14:paraId="535AE5FC" w14:textId="1AC96D97" w:rsidR="7E1D8CE6" w:rsidRDefault="7E1D8CE6" w:rsidP="7E1D8CE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08B07" w14:textId="77777777" w:rsidR="000877DA" w:rsidRDefault="000877DA" w:rsidP="000D572B">
      <w:pPr>
        <w:spacing w:after="0" w:line="240" w:lineRule="auto"/>
      </w:pPr>
      <w:r>
        <w:separator/>
      </w:r>
    </w:p>
  </w:footnote>
  <w:footnote w:type="continuationSeparator" w:id="0">
    <w:p w14:paraId="6D3526E4" w14:textId="77777777" w:rsidR="000877DA" w:rsidRDefault="000877DA" w:rsidP="000D572B">
      <w:pPr>
        <w:spacing w:after="0" w:line="240" w:lineRule="auto"/>
      </w:pPr>
      <w:r>
        <w:continuationSeparator/>
      </w:r>
    </w:p>
  </w:footnote>
  <w:footnote w:id="1">
    <w:p w14:paraId="5F036781" w14:textId="77777777" w:rsidR="00CB539A" w:rsidRDefault="00CB539A" w:rsidP="00CB539A">
      <w:pPr>
        <w:spacing w:after="0" w:line="240" w:lineRule="auto"/>
        <w:jc w:val="both"/>
        <w:rPr>
          <w:sz w:val="18"/>
          <w:szCs w:val="18"/>
        </w:rPr>
      </w:pPr>
      <w:r w:rsidRPr="00CB539A">
        <w:rPr>
          <w:rStyle w:val="Refdenotaalpie"/>
          <w:sz w:val="18"/>
          <w:szCs w:val="18"/>
        </w:rPr>
        <w:footnoteRef/>
      </w:r>
      <w:r w:rsidRPr="00CB539A">
        <w:rPr>
          <w:sz w:val="18"/>
          <w:szCs w:val="18"/>
        </w:rPr>
        <w:t xml:space="preserve"> D’acord amb l’article 16 de l’OEHA/3565/2008, de 3 de desembre, per la que s’aprova l’estructura dels pressupostos de les entitats locals:</w:t>
      </w:r>
    </w:p>
    <w:p w14:paraId="2F017FF1" w14:textId="77777777" w:rsidR="00CB539A" w:rsidRPr="00CB539A" w:rsidRDefault="00CB539A" w:rsidP="00CB539A">
      <w:pPr>
        <w:spacing w:after="0" w:line="240" w:lineRule="auto"/>
        <w:jc w:val="both"/>
        <w:rPr>
          <w:sz w:val="8"/>
          <w:szCs w:val="18"/>
        </w:rPr>
      </w:pPr>
    </w:p>
    <w:p w14:paraId="1C40F890" w14:textId="70461C39" w:rsidR="00CB539A" w:rsidRPr="00CB539A" w:rsidRDefault="00CB539A" w:rsidP="00E817F1">
      <w:pPr>
        <w:spacing w:after="0" w:line="240" w:lineRule="auto"/>
        <w:jc w:val="both"/>
        <w:rPr>
          <w:i/>
          <w:iCs/>
          <w:sz w:val="18"/>
          <w:szCs w:val="18"/>
        </w:rPr>
      </w:pPr>
      <w:r w:rsidRPr="00CB539A">
        <w:rPr>
          <w:i/>
          <w:iCs/>
          <w:sz w:val="18"/>
          <w:szCs w:val="18"/>
        </w:rPr>
        <w:t>“Concepte 160. Quotes socials.</w:t>
      </w:r>
      <w:r>
        <w:rPr>
          <w:i/>
          <w:iCs/>
          <w:sz w:val="18"/>
          <w:szCs w:val="18"/>
        </w:rPr>
        <w:t xml:space="preserve"> </w:t>
      </w:r>
      <w:r w:rsidRPr="00CB539A">
        <w:rPr>
          <w:i/>
          <w:iCs/>
          <w:sz w:val="18"/>
          <w:szCs w:val="18"/>
        </w:rPr>
        <w:t>Aportacions de les entitat locals i dels organismes autònoms als règims de la Seguretat Social i de previsió (mutualitats de funcionaris) del personal al seu servei. Despeses mèdiques i farmacèutiques del personal, no cobertes pels règims de previsió social i assumides per les entitats locals.</w:t>
      </w:r>
      <w:r>
        <w:rPr>
          <w:i/>
          <w:iCs/>
          <w:sz w:val="18"/>
          <w:szCs w:val="18"/>
        </w:rPr>
        <w:t xml:space="preserve"> </w:t>
      </w:r>
      <w:r w:rsidRPr="00CB539A">
        <w:rPr>
          <w:i/>
          <w:iCs/>
          <w:sz w:val="18"/>
          <w:szCs w:val="18"/>
        </w:rPr>
        <w:t>A tal efecte s’obren a l’estructura els subconceptes següents:</w:t>
      </w:r>
      <w:r w:rsidR="00E817F1">
        <w:rPr>
          <w:i/>
          <w:iCs/>
          <w:sz w:val="18"/>
          <w:szCs w:val="18"/>
        </w:rPr>
        <w:t xml:space="preserve"> </w:t>
      </w:r>
      <w:r w:rsidRPr="00CB539A">
        <w:rPr>
          <w:i/>
          <w:iCs/>
          <w:sz w:val="18"/>
          <w:szCs w:val="18"/>
        </w:rPr>
        <w:t>Subconcepte 160.00  Seguretat Social.”</w:t>
      </w:r>
    </w:p>
    <w:p w14:paraId="02011CB7" w14:textId="77777777" w:rsidR="00CB539A" w:rsidRPr="00CB539A" w:rsidRDefault="00CB539A" w:rsidP="00CB539A">
      <w:pPr>
        <w:spacing w:after="0" w:line="240" w:lineRule="auto"/>
        <w:jc w:val="both"/>
        <w:rPr>
          <w:sz w:val="8"/>
          <w:szCs w:val="18"/>
        </w:rPr>
      </w:pPr>
    </w:p>
    <w:p w14:paraId="038C60C4" w14:textId="77777777" w:rsidR="00CB539A" w:rsidRPr="00CB539A" w:rsidRDefault="00CB539A" w:rsidP="00CB539A">
      <w:pPr>
        <w:spacing w:after="0" w:line="240" w:lineRule="auto"/>
        <w:jc w:val="both"/>
        <w:rPr>
          <w:sz w:val="18"/>
          <w:szCs w:val="18"/>
        </w:rPr>
      </w:pPr>
      <w:r w:rsidRPr="00CB539A">
        <w:rPr>
          <w:sz w:val="18"/>
          <w:szCs w:val="18"/>
        </w:rPr>
        <w:t>Així mateix, la nota informativa de la IGAE núm. 1/2019 redefineix la utilització del compte 413 a partir de les modificacions establertes per l’Ordre HFP/1970/2016, de 16 de desembre, i s’indica:</w:t>
      </w:r>
    </w:p>
    <w:p w14:paraId="450D450E" w14:textId="679609C1" w:rsidR="00CB539A" w:rsidRPr="00CB539A" w:rsidRDefault="00CB539A" w:rsidP="00CB539A">
      <w:pPr>
        <w:spacing w:after="0" w:line="240" w:lineRule="auto"/>
        <w:jc w:val="both"/>
        <w:rPr>
          <w:i/>
          <w:iCs/>
          <w:sz w:val="18"/>
          <w:szCs w:val="18"/>
        </w:rPr>
      </w:pPr>
      <w:r w:rsidRPr="00CB539A">
        <w:rPr>
          <w:i/>
          <w:iCs/>
          <w:sz w:val="18"/>
          <w:szCs w:val="18"/>
        </w:rPr>
        <w:t>“El nou compte 413 “Creditors per operacions meritades” presenta un desglossament en dos divisionàries d'ús opcional:</w:t>
      </w:r>
    </w:p>
    <w:p w14:paraId="291EFD2F" w14:textId="2F99F1FD" w:rsidR="00CB539A" w:rsidRPr="00CB539A" w:rsidRDefault="00CB539A" w:rsidP="00CB539A">
      <w:pPr>
        <w:pStyle w:val="Prrafodelista"/>
        <w:numPr>
          <w:ilvl w:val="0"/>
          <w:numId w:val="8"/>
        </w:numPr>
        <w:spacing w:after="0" w:line="240" w:lineRule="auto"/>
        <w:ind w:left="284" w:hanging="142"/>
        <w:jc w:val="both"/>
        <w:rPr>
          <w:i/>
          <w:iCs/>
          <w:sz w:val="18"/>
          <w:szCs w:val="18"/>
        </w:rPr>
      </w:pPr>
      <w:r w:rsidRPr="00CB539A">
        <w:rPr>
          <w:i/>
          <w:iCs/>
          <w:sz w:val="18"/>
          <w:szCs w:val="18"/>
        </w:rPr>
        <w:t>4130 “Creditors per operacions aplicables a pressupost en períodes posteriors”, al Pla de Comptes Normal, o 4130 “Creditors per operacions aplicables a pressupost en exercicis posteriors”, al Pla de Comptes Local Simplificat.</w:t>
      </w:r>
    </w:p>
    <w:p w14:paraId="24E3B869" w14:textId="78B01F12" w:rsidR="00CB539A" w:rsidRPr="00CB539A" w:rsidRDefault="00CB539A" w:rsidP="00CB539A">
      <w:pPr>
        <w:pStyle w:val="Prrafodelista"/>
        <w:numPr>
          <w:ilvl w:val="0"/>
          <w:numId w:val="8"/>
        </w:numPr>
        <w:spacing w:after="0" w:line="240" w:lineRule="auto"/>
        <w:ind w:left="284" w:hanging="142"/>
        <w:jc w:val="both"/>
        <w:rPr>
          <w:i/>
          <w:iCs/>
          <w:sz w:val="18"/>
        </w:rPr>
      </w:pPr>
      <w:r w:rsidRPr="00CB539A">
        <w:rPr>
          <w:i/>
          <w:iCs/>
          <w:sz w:val="18"/>
        </w:rPr>
        <w:t>4131 “Creditors per operacions pendents d'aplicar a pressupost.</w:t>
      </w:r>
    </w:p>
    <w:p w14:paraId="4F2660CC" w14:textId="77777777" w:rsidR="00CB539A" w:rsidRPr="00CB539A" w:rsidRDefault="00CB539A" w:rsidP="00CB539A">
      <w:pPr>
        <w:spacing w:after="0" w:line="240" w:lineRule="auto"/>
        <w:jc w:val="both"/>
        <w:rPr>
          <w:i/>
          <w:iCs/>
          <w:sz w:val="8"/>
        </w:rPr>
      </w:pPr>
    </w:p>
    <w:p w14:paraId="0E5C44FC" w14:textId="77777777" w:rsidR="00CB539A" w:rsidRPr="00CB539A" w:rsidRDefault="00CB539A" w:rsidP="00CB539A">
      <w:pPr>
        <w:spacing w:after="0" w:line="240" w:lineRule="auto"/>
        <w:jc w:val="both"/>
        <w:rPr>
          <w:i/>
          <w:iCs/>
          <w:sz w:val="18"/>
        </w:rPr>
      </w:pPr>
      <w:r w:rsidRPr="00CB539A">
        <w:rPr>
          <w:i/>
          <w:iCs/>
          <w:sz w:val="18"/>
        </w:rPr>
        <w:t>El desglossament del compte 413 distingeix els deutes en funció de si en el moment de la seva meritació són o no són aplicables al pressupost de despeses de l’entitat. A aquests efectes, es considerarà que una obligació és aplicable al pressupost de despeses quan, de conformitat amb la normativa pressupostària, ha d'estar pressupostada en el període en què es meriti o en algun d'anterior. En cas contrari, és a dir, quan l'obligació hagi d'estar pressupostada en un període posterior al de la seva meritació, es considera que l'obligació no és aplicable al pressupost.</w:t>
      </w:r>
    </w:p>
    <w:p w14:paraId="73DDF01C" w14:textId="77777777" w:rsidR="00CB539A" w:rsidRPr="00CB539A" w:rsidRDefault="00CB539A" w:rsidP="00CB539A">
      <w:pPr>
        <w:spacing w:after="0" w:line="240" w:lineRule="auto"/>
        <w:jc w:val="both"/>
        <w:rPr>
          <w:i/>
          <w:iCs/>
          <w:sz w:val="10"/>
        </w:rPr>
      </w:pPr>
    </w:p>
    <w:p w14:paraId="04CF26FB" w14:textId="77777777" w:rsidR="00CB539A" w:rsidRPr="00CB539A" w:rsidRDefault="00CB539A" w:rsidP="00CB539A">
      <w:pPr>
        <w:spacing w:after="0" w:line="240" w:lineRule="auto"/>
        <w:jc w:val="both"/>
        <w:rPr>
          <w:i/>
          <w:iCs/>
          <w:sz w:val="18"/>
        </w:rPr>
      </w:pPr>
      <w:r w:rsidRPr="00CB539A">
        <w:rPr>
          <w:i/>
          <w:iCs/>
          <w:sz w:val="18"/>
        </w:rPr>
        <w:t>D’acord amb lo anterior:</w:t>
      </w:r>
    </w:p>
    <w:p w14:paraId="1A171DD6" w14:textId="77777777" w:rsidR="00CB539A" w:rsidRPr="00CB539A" w:rsidRDefault="00CB539A" w:rsidP="00CB539A">
      <w:pPr>
        <w:spacing w:after="0" w:line="240" w:lineRule="auto"/>
        <w:jc w:val="both"/>
        <w:rPr>
          <w:i/>
          <w:iCs/>
          <w:sz w:val="18"/>
        </w:rPr>
      </w:pPr>
      <w:r w:rsidRPr="00CB539A">
        <w:rPr>
          <w:i/>
          <w:iCs/>
          <w:sz w:val="18"/>
        </w:rPr>
        <w:t>La divisionària 4130 “Creditors per operacions aplicables a pressupost en períodes posteriors”, o 4130 “Creditors per operacions aplicables a pressupost en exercicis posteriors”, recollirà les obligacions meritades no aplicables al pressupost de despeses de l'entitat en el període en què s'hagin meritat o en algun d'anterior.</w:t>
      </w:r>
    </w:p>
    <w:p w14:paraId="03E06C7E" w14:textId="77777777" w:rsidR="00CB539A" w:rsidRPr="00CB539A" w:rsidRDefault="00CB539A" w:rsidP="00CB539A">
      <w:pPr>
        <w:spacing w:after="0" w:line="240" w:lineRule="auto"/>
        <w:jc w:val="both"/>
        <w:rPr>
          <w:i/>
          <w:iCs/>
          <w:sz w:val="18"/>
        </w:rPr>
      </w:pPr>
      <w:r w:rsidRPr="00CB539A">
        <w:rPr>
          <w:i/>
          <w:iCs/>
          <w:sz w:val="18"/>
        </w:rPr>
        <w:t>En aquesta divisionària s'inclouran, en tot cas, les obligacions derivades de:</w:t>
      </w:r>
    </w:p>
    <w:p w14:paraId="53AED7C4" w14:textId="77777777" w:rsidR="00CB539A" w:rsidRPr="00CB539A" w:rsidRDefault="00CB539A" w:rsidP="00CB539A">
      <w:pPr>
        <w:pStyle w:val="Prrafodelista"/>
        <w:numPr>
          <w:ilvl w:val="0"/>
          <w:numId w:val="1"/>
        </w:numPr>
        <w:spacing w:after="0" w:line="240" w:lineRule="auto"/>
        <w:ind w:left="284" w:hanging="142"/>
        <w:jc w:val="both"/>
        <w:rPr>
          <w:rFonts w:eastAsiaTheme="minorEastAsia"/>
          <w:i/>
          <w:iCs/>
          <w:sz w:val="18"/>
        </w:rPr>
      </w:pPr>
      <w:r w:rsidRPr="00CB539A">
        <w:rPr>
          <w:i/>
          <w:iCs/>
          <w:sz w:val="18"/>
        </w:rPr>
        <w:t>Certificacions expedides el mes següent per les obres executades a l'últim mes de cada període (trimestral o anual, segons escaigui) i aquelles obligacions similars que derivin de documents acreditatius de la conformitat amb la prestació realitzada en altres contractes.</w:t>
      </w:r>
    </w:p>
    <w:p w14:paraId="037919D2" w14:textId="0F7A2C2C" w:rsidR="00CB539A" w:rsidRPr="00CB539A" w:rsidRDefault="00CB539A" w:rsidP="00CB539A">
      <w:pPr>
        <w:pStyle w:val="Prrafodelista"/>
        <w:numPr>
          <w:ilvl w:val="0"/>
          <w:numId w:val="1"/>
        </w:numPr>
        <w:spacing w:after="0" w:line="240" w:lineRule="auto"/>
        <w:ind w:left="284" w:hanging="142"/>
        <w:jc w:val="both"/>
        <w:rPr>
          <w:rFonts w:eastAsiaTheme="minorEastAsia"/>
          <w:i/>
          <w:iCs/>
          <w:sz w:val="18"/>
        </w:rPr>
      </w:pPr>
      <w:r w:rsidRPr="00CB539A">
        <w:rPr>
          <w:i/>
          <w:iCs/>
          <w:sz w:val="18"/>
        </w:rPr>
        <w:t>Lliuraments de béns i prestació de serveis l'execució dels quals estigui a cavall entre dos períodes, per l'import meritat en el primer. Les obligacions derivades d'aquestes operacions són les que es registraven a la suprimida compte 411 “Creditors per despeses meritades”.”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B8C18" w14:textId="63835F9D" w:rsidR="000D572B" w:rsidRDefault="000D572B" w:rsidP="00CB539A">
    <w:pPr>
      <w:pStyle w:val="Encabezado"/>
      <w:ind w:left="-426"/>
    </w:pPr>
    <w:r>
      <w:rPr>
        <w:noProof/>
        <w:color w:val="2B579A"/>
        <w:shd w:val="clear" w:color="auto" w:fill="E6E6E6"/>
        <w:lang w:eastAsia="ca-ES"/>
      </w:rPr>
      <w:drawing>
        <wp:inline distT="0" distB="0" distL="0" distR="0" wp14:anchorId="41F7E5F9" wp14:editId="55C0711C">
          <wp:extent cx="2103120" cy="725213"/>
          <wp:effectExtent l="0" t="0" r="0" b="0"/>
          <wp:docPr id="21" name="Imat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201" cy="735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4499A3" w14:textId="77777777" w:rsidR="00CB539A" w:rsidRDefault="00CB539A">
    <w:pPr>
      <w:pStyle w:val="Encabezado"/>
    </w:pPr>
  </w:p>
  <w:tbl>
    <w:tblPr>
      <w:tblStyle w:val="Taulaambquadrcula1"/>
      <w:tblW w:w="8500" w:type="dxa"/>
      <w:tblLayout w:type="fixed"/>
      <w:tblLook w:val="04A0" w:firstRow="1" w:lastRow="0" w:firstColumn="1" w:lastColumn="0" w:noHBand="0" w:noVBand="1"/>
    </w:tblPr>
    <w:tblGrid>
      <w:gridCol w:w="1271"/>
      <w:gridCol w:w="1276"/>
      <w:gridCol w:w="4111"/>
      <w:gridCol w:w="1134"/>
      <w:gridCol w:w="708"/>
    </w:tblGrid>
    <w:tr w:rsidR="000D572B" w:rsidRPr="000D572B" w14:paraId="3DEEEC88" w14:textId="77777777" w:rsidTr="00CB539A">
      <w:tc>
        <w:tcPr>
          <w:tcW w:w="1271" w:type="dxa"/>
        </w:tcPr>
        <w:p w14:paraId="11CA6EC8" w14:textId="77777777" w:rsidR="000D572B" w:rsidRPr="000D572B" w:rsidRDefault="000D572B" w:rsidP="000D572B">
          <w:pPr>
            <w:tabs>
              <w:tab w:val="center" w:pos="4252"/>
              <w:tab w:val="right" w:pos="8504"/>
            </w:tabs>
            <w:jc w:val="center"/>
            <w:rPr>
              <w:rFonts w:ascii="Calibri" w:hAnsi="Calibri" w:cs="Calibri"/>
              <w:b/>
              <w:bCs/>
              <w:color w:val="767171" w:themeColor="background2" w:themeShade="80"/>
              <w:sz w:val="18"/>
              <w:szCs w:val="18"/>
            </w:rPr>
          </w:pPr>
          <w:r w:rsidRPr="000D572B">
            <w:rPr>
              <w:rFonts w:ascii="Calibri" w:hAnsi="Calibri" w:cs="Calibri"/>
              <w:b/>
              <w:bCs/>
              <w:color w:val="767171" w:themeColor="background2" w:themeShade="80"/>
              <w:sz w:val="18"/>
              <w:szCs w:val="18"/>
            </w:rPr>
            <w:t>Matèria</w:t>
          </w:r>
        </w:p>
      </w:tc>
      <w:tc>
        <w:tcPr>
          <w:tcW w:w="1276" w:type="dxa"/>
        </w:tcPr>
        <w:p w14:paraId="1E089E17" w14:textId="77777777" w:rsidR="000D572B" w:rsidRPr="000D572B" w:rsidRDefault="000D572B" w:rsidP="000D572B">
          <w:pPr>
            <w:tabs>
              <w:tab w:val="center" w:pos="4252"/>
              <w:tab w:val="right" w:pos="8504"/>
            </w:tabs>
            <w:jc w:val="center"/>
            <w:rPr>
              <w:b/>
              <w:color w:val="767171" w:themeColor="background2" w:themeShade="80"/>
              <w:sz w:val="18"/>
              <w:szCs w:val="18"/>
            </w:rPr>
          </w:pPr>
          <w:r w:rsidRPr="000D572B">
            <w:rPr>
              <w:rFonts w:ascii="Calibri" w:hAnsi="Calibri" w:cs="Calibri"/>
              <w:b/>
              <w:bCs/>
              <w:color w:val="767171" w:themeColor="background2" w:themeShade="80"/>
              <w:sz w:val="18"/>
              <w:szCs w:val="18"/>
            </w:rPr>
            <w:t>Codi</w:t>
          </w:r>
        </w:p>
      </w:tc>
      <w:tc>
        <w:tcPr>
          <w:tcW w:w="4111" w:type="dxa"/>
        </w:tcPr>
        <w:p w14:paraId="4BA58B02" w14:textId="77777777" w:rsidR="000D572B" w:rsidRPr="000D572B" w:rsidRDefault="000D572B" w:rsidP="000D572B">
          <w:pPr>
            <w:tabs>
              <w:tab w:val="center" w:pos="4252"/>
              <w:tab w:val="right" w:pos="8504"/>
            </w:tabs>
            <w:jc w:val="center"/>
            <w:rPr>
              <w:b/>
              <w:color w:val="767171" w:themeColor="background2" w:themeShade="80"/>
              <w:sz w:val="18"/>
              <w:szCs w:val="18"/>
            </w:rPr>
          </w:pPr>
          <w:r w:rsidRPr="000D572B">
            <w:rPr>
              <w:rFonts w:ascii="Calibri" w:hAnsi="Calibri" w:cs="Calibri"/>
              <w:b/>
              <w:bCs/>
              <w:color w:val="767171" w:themeColor="background2" w:themeShade="80"/>
              <w:sz w:val="18"/>
              <w:szCs w:val="18"/>
            </w:rPr>
            <w:t>Descripció</w:t>
          </w:r>
        </w:p>
      </w:tc>
      <w:tc>
        <w:tcPr>
          <w:tcW w:w="1134" w:type="dxa"/>
        </w:tcPr>
        <w:p w14:paraId="28D29D7A" w14:textId="34C70232" w:rsidR="000D572B" w:rsidRPr="000D572B" w:rsidRDefault="000D572B" w:rsidP="00CB539A">
          <w:pPr>
            <w:tabs>
              <w:tab w:val="center" w:pos="4252"/>
              <w:tab w:val="right" w:pos="8504"/>
            </w:tabs>
            <w:jc w:val="center"/>
            <w:rPr>
              <w:rFonts w:ascii="Calibri" w:hAnsi="Calibri" w:cs="Calibri"/>
              <w:b/>
              <w:bCs/>
              <w:color w:val="767171" w:themeColor="background2" w:themeShade="80"/>
              <w:sz w:val="18"/>
              <w:szCs w:val="18"/>
            </w:rPr>
          </w:pPr>
          <w:r w:rsidRPr="000D572B">
            <w:rPr>
              <w:rFonts w:ascii="Calibri" w:hAnsi="Calibri" w:cs="Calibri"/>
              <w:b/>
              <w:bCs/>
              <w:color w:val="767171" w:themeColor="background2" w:themeShade="80"/>
              <w:sz w:val="18"/>
              <w:szCs w:val="18"/>
            </w:rPr>
            <w:t xml:space="preserve">Data </w:t>
          </w:r>
        </w:p>
      </w:tc>
      <w:tc>
        <w:tcPr>
          <w:tcW w:w="708" w:type="dxa"/>
        </w:tcPr>
        <w:p w14:paraId="32F00B51" w14:textId="77777777" w:rsidR="000D572B" w:rsidRPr="000D572B" w:rsidRDefault="000D572B" w:rsidP="000D572B">
          <w:pPr>
            <w:tabs>
              <w:tab w:val="center" w:pos="4252"/>
              <w:tab w:val="right" w:pos="8504"/>
            </w:tabs>
            <w:jc w:val="center"/>
            <w:rPr>
              <w:b/>
              <w:color w:val="767171" w:themeColor="background2" w:themeShade="80"/>
              <w:sz w:val="18"/>
              <w:szCs w:val="18"/>
            </w:rPr>
          </w:pPr>
          <w:r w:rsidRPr="000D572B">
            <w:rPr>
              <w:rFonts w:ascii="Calibri" w:hAnsi="Calibri" w:cs="Calibri"/>
              <w:b/>
              <w:bCs/>
              <w:color w:val="767171" w:themeColor="background2" w:themeShade="80"/>
              <w:sz w:val="18"/>
              <w:szCs w:val="18"/>
            </w:rPr>
            <w:t>Versió</w:t>
          </w:r>
        </w:p>
      </w:tc>
    </w:tr>
    <w:tr w:rsidR="000D572B" w:rsidRPr="000D572B" w14:paraId="09FC1E63" w14:textId="77777777" w:rsidTr="00CB539A">
      <w:tc>
        <w:tcPr>
          <w:tcW w:w="1271" w:type="dxa"/>
        </w:tcPr>
        <w:p w14:paraId="11F4E989" w14:textId="52196B45" w:rsidR="000D572B" w:rsidRPr="000D572B" w:rsidRDefault="000D572B" w:rsidP="00CB539A">
          <w:pPr>
            <w:tabs>
              <w:tab w:val="center" w:pos="4252"/>
              <w:tab w:val="right" w:pos="8504"/>
            </w:tabs>
            <w:rPr>
              <w:rFonts w:ascii="Calibri" w:hAnsi="Calibri" w:cs="Calibri"/>
              <w:bCs/>
              <w:color w:val="767171" w:themeColor="background2" w:themeShade="80"/>
              <w:sz w:val="18"/>
              <w:szCs w:val="18"/>
            </w:rPr>
          </w:pPr>
          <w:r w:rsidRPr="000D572B">
            <w:rPr>
              <w:rFonts w:ascii="Calibri" w:hAnsi="Calibri" w:cs="Calibri"/>
              <w:bCs/>
              <w:color w:val="767171" w:themeColor="background2" w:themeShade="80"/>
              <w:sz w:val="18"/>
              <w:szCs w:val="18"/>
            </w:rPr>
            <w:t>F</w:t>
          </w:r>
          <w:r w:rsidR="00CB539A">
            <w:rPr>
              <w:rFonts w:ascii="Calibri" w:hAnsi="Calibri" w:cs="Calibri"/>
              <w:bCs/>
              <w:color w:val="767171" w:themeColor="background2" w:themeShade="80"/>
              <w:sz w:val="18"/>
              <w:szCs w:val="18"/>
            </w:rPr>
            <w:t>.C</w:t>
          </w:r>
          <w:r w:rsidRPr="000D572B">
            <w:rPr>
              <w:rFonts w:ascii="Calibri" w:hAnsi="Calibri" w:cs="Calibri"/>
              <w:bCs/>
              <w:color w:val="767171" w:themeColor="background2" w:themeShade="80"/>
              <w:sz w:val="18"/>
              <w:szCs w:val="18"/>
            </w:rPr>
            <w:t>omptable</w:t>
          </w:r>
        </w:p>
      </w:tc>
      <w:tc>
        <w:tcPr>
          <w:tcW w:w="1276" w:type="dxa"/>
        </w:tcPr>
        <w:p w14:paraId="7BAFF539" w14:textId="36955285" w:rsidR="000D572B" w:rsidRPr="000D572B" w:rsidRDefault="000D572B" w:rsidP="00CB539A">
          <w:pPr>
            <w:tabs>
              <w:tab w:val="center" w:pos="4252"/>
              <w:tab w:val="right" w:pos="8504"/>
            </w:tabs>
            <w:rPr>
              <w:color w:val="767171" w:themeColor="background2" w:themeShade="80"/>
              <w:sz w:val="18"/>
              <w:szCs w:val="18"/>
            </w:rPr>
          </w:pPr>
          <w:r>
            <w:rPr>
              <w:rFonts w:ascii="Calibri" w:hAnsi="Calibri" w:cs="Calibri"/>
              <w:bCs/>
              <w:color w:val="767171" w:themeColor="background2" w:themeShade="80"/>
              <w:sz w:val="18"/>
              <w:szCs w:val="18"/>
            </w:rPr>
            <w:t>2021/FC/0002</w:t>
          </w:r>
        </w:p>
      </w:tc>
      <w:tc>
        <w:tcPr>
          <w:tcW w:w="4111" w:type="dxa"/>
        </w:tcPr>
        <w:p w14:paraId="285F7E59" w14:textId="4DC62D2A" w:rsidR="000D572B" w:rsidRPr="000D572B" w:rsidRDefault="000D572B" w:rsidP="00CB539A">
          <w:pPr>
            <w:tabs>
              <w:tab w:val="center" w:pos="4252"/>
              <w:tab w:val="right" w:pos="8504"/>
            </w:tabs>
            <w:jc w:val="both"/>
            <w:rPr>
              <w:color w:val="767171" w:themeColor="background2" w:themeShade="80"/>
              <w:sz w:val="18"/>
              <w:szCs w:val="18"/>
            </w:rPr>
          </w:pPr>
          <w:r w:rsidRPr="000D572B">
            <w:rPr>
              <w:rFonts w:ascii="Calibri" w:hAnsi="Calibri" w:cs="Calibri"/>
              <w:bCs/>
              <w:color w:val="767171" w:themeColor="background2" w:themeShade="80"/>
              <w:sz w:val="18"/>
              <w:szCs w:val="18"/>
            </w:rPr>
            <w:t xml:space="preserve">Com </w:t>
          </w:r>
          <w:r>
            <w:rPr>
              <w:rFonts w:ascii="Calibri" w:hAnsi="Calibri" w:cs="Calibri"/>
              <w:bCs/>
              <w:color w:val="767171" w:themeColor="background2" w:themeShade="80"/>
              <w:sz w:val="18"/>
              <w:szCs w:val="18"/>
            </w:rPr>
            <w:t>comptabilitzar la seguretat social corresponent al mes de desembre al programa comptable Sicalwin?</w:t>
          </w:r>
        </w:p>
      </w:tc>
      <w:tc>
        <w:tcPr>
          <w:tcW w:w="1134" w:type="dxa"/>
        </w:tcPr>
        <w:p w14:paraId="727EF2DF" w14:textId="3A3E834D" w:rsidR="000D572B" w:rsidRPr="000D572B" w:rsidRDefault="000D572B" w:rsidP="000D572B">
          <w:pPr>
            <w:tabs>
              <w:tab w:val="center" w:pos="4252"/>
              <w:tab w:val="right" w:pos="8504"/>
            </w:tabs>
            <w:jc w:val="center"/>
            <w:rPr>
              <w:rFonts w:ascii="Calibri" w:hAnsi="Calibri" w:cs="Calibri"/>
              <w:bCs/>
              <w:color w:val="767171" w:themeColor="background2" w:themeShade="80"/>
              <w:sz w:val="18"/>
              <w:szCs w:val="18"/>
            </w:rPr>
          </w:pPr>
          <w:r>
            <w:rPr>
              <w:rFonts w:ascii="Calibri" w:hAnsi="Calibri" w:cs="Calibri"/>
              <w:bCs/>
              <w:color w:val="767171" w:themeColor="background2" w:themeShade="80"/>
              <w:sz w:val="18"/>
              <w:szCs w:val="18"/>
            </w:rPr>
            <w:t>28/10/2021</w:t>
          </w:r>
        </w:p>
      </w:tc>
      <w:tc>
        <w:tcPr>
          <w:tcW w:w="708" w:type="dxa"/>
        </w:tcPr>
        <w:p w14:paraId="0B384D5A" w14:textId="77777777" w:rsidR="000D572B" w:rsidRPr="000D572B" w:rsidRDefault="000D572B" w:rsidP="000D572B">
          <w:pPr>
            <w:tabs>
              <w:tab w:val="center" w:pos="4252"/>
              <w:tab w:val="right" w:pos="8504"/>
            </w:tabs>
            <w:jc w:val="center"/>
            <w:rPr>
              <w:color w:val="767171" w:themeColor="background2" w:themeShade="80"/>
              <w:sz w:val="18"/>
              <w:szCs w:val="18"/>
            </w:rPr>
          </w:pPr>
          <w:r w:rsidRPr="000D572B">
            <w:rPr>
              <w:rFonts w:ascii="Calibri" w:hAnsi="Calibri" w:cs="Calibri"/>
              <w:bCs/>
              <w:color w:val="767171" w:themeColor="background2" w:themeShade="80"/>
              <w:sz w:val="18"/>
              <w:szCs w:val="18"/>
            </w:rPr>
            <w:t>01</w:t>
          </w:r>
        </w:p>
      </w:tc>
    </w:tr>
  </w:tbl>
  <w:p w14:paraId="1CF56CCE" w14:textId="77777777" w:rsidR="000D572B" w:rsidRDefault="000D572B" w:rsidP="00CB539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E5F9F"/>
    <w:multiLevelType w:val="hybridMultilevel"/>
    <w:tmpl w:val="F3A6D738"/>
    <w:lvl w:ilvl="0" w:tplc="28BC27D2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220BB"/>
    <w:multiLevelType w:val="hybridMultilevel"/>
    <w:tmpl w:val="C344992C"/>
    <w:lvl w:ilvl="0" w:tplc="BE44C6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CCE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8A42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EA89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FCFA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E49D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BAEA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944E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B2C3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A6A5D"/>
    <w:multiLevelType w:val="hybridMultilevel"/>
    <w:tmpl w:val="9DB2601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43622"/>
    <w:multiLevelType w:val="hybridMultilevel"/>
    <w:tmpl w:val="C4A2F0C4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458A5"/>
    <w:multiLevelType w:val="hybridMultilevel"/>
    <w:tmpl w:val="963E39F0"/>
    <w:lvl w:ilvl="0" w:tplc="9E7A5D2A">
      <w:start w:val="1"/>
      <w:numFmt w:val="bullet"/>
      <w:lvlText w:val="−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DC53529"/>
    <w:multiLevelType w:val="hybridMultilevel"/>
    <w:tmpl w:val="4682385C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43323"/>
    <w:multiLevelType w:val="hybridMultilevel"/>
    <w:tmpl w:val="20F60662"/>
    <w:lvl w:ilvl="0" w:tplc="5422F3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3C064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F82D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8ABF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A056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F6C7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12EE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F2D5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9873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02675"/>
    <w:multiLevelType w:val="hybridMultilevel"/>
    <w:tmpl w:val="3CCE0BA0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304B9F"/>
    <w:multiLevelType w:val="hybridMultilevel"/>
    <w:tmpl w:val="A97EE9F0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F17FA"/>
    <w:multiLevelType w:val="hybridMultilevel"/>
    <w:tmpl w:val="FE327954"/>
    <w:lvl w:ilvl="0" w:tplc="18B686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7681D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5A74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162C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BA16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CEFA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4EB0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8411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5C20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D7CA5"/>
    <w:multiLevelType w:val="hybridMultilevel"/>
    <w:tmpl w:val="52DE8D2E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DB29D7"/>
    <w:multiLevelType w:val="hybridMultilevel"/>
    <w:tmpl w:val="3F0E4726"/>
    <w:lvl w:ilvl="0" w:tplc="C85AAB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7"/>
  </w:num>
  <w:num w:numId="9">
    <w:abstractNumId w:val="4"/>
  </w:num>
  <w:num w:numId="10">
    <w:abstractNumId w:val="0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9C9"/>
    <w:rsid w:val="00027766"/>
    <w:rsid w:val="00080A93"/>
    <w:rsid w:val="00085A8F"/>
    <w:rsid w:val="000877DA"/>
    <w:rsid w:val="00095D92"/>
    <w:rsid w:val="000D572B"/>
    <w:rsid w:val="00102D76"/>
    <w:rsid w:val="001030DC"/>
    <w:rsid w:val="001B49E3"/>
    <w:rsid w:val="001E2078"/>
    <w:rsid w:val="002429FE"/>
    <w:rsid w:val="002574D2"/>
    <w:rsid w:val="0025775E"/>
    <w:rsid w:val="002974E2"/>
    <w:rsid w:val="002D2374"/>
    <w:rsid w:val="002D7455"/>
    <w:rsid w:val="002D7E7A"/>
    <w:rsid w:val="002E7AF0"/>
    <w:rsid w:val="00304519"/>
    <w:rsid w:val="003B40B7"/>
    <w:rsid w:val="00421A97"/>
    <w:rsid w:val="0042283D"/>
    <w:rsid w:val="00440A07"/>
    <w:rsid w:val="00440BCA"/>
    <w:rsid w:val="004410FA"/>
    <w:rsid w:val="00441570"/>
    <w:rsid w:val="00471472"/>
    <w:rsid w:val="004969F5"/>
    <w:rsid w:val="004A5810"/>
    <w:rsid w:val="00523406"/>
    <w:rsid w:val="005764C9"/>
    <w:rsid w:val="005A6380"/>
    <w:rsid w:val="005B0024"/>
    <w:rsid w:val="005F34F0"/>
    <w:rsid w:val="005F6741"/>
    <w:rsid w:val="006227E2"/>
    <w:rsid w:val="0064510E"/>
    <w:rsid w:val="00692A0B"/>
    <w:rsid w:val="006F7DFB"/>
    <w:rsid w:val="00702BB4"/>
    <w:rsid w:val="0075386F"/>
    <w:rsid w:val="007864AF"/>
    <w:rsid w:val="007956A8"/>
    <w:rsid w:val="007D6D7C"/>
    <w:rsid w:val="007F1929"/>
    <w:rsid w:val="00802127"/>
    <w:rsid w:val="00802AD4"/>
    <w:rsid w:val="00834FB5"/>
    <w:rsid w:val="008935F7"/>
    <w:rsid w:val="008C7A2B"/>
    <w:rsid w:val="009537F7"/>
    <w:rsid w:val="009801D3"/>
    <w:rsid w:val="009C53FF"/>
    <w:rsid w:val="009F59C9"/>
    <w:rsid w:val="00A67367"/>
    <w:rsid w:val="00A812D2"/>
    <w:rsid w:val="00B642BC"/>
    <w:rsid w:val="00B73EA2"/>
    <w:rsid w:val="00B914E8"/>
    <w:rsid w:val="00BA65D0"/>
    <w:rsid w:val="00BE0E7D"/>
    <w:rsid w:val="00C9380D"/>
    <w:rsid w:val="00CB539A"/>
    <w:rsid w:val="00CB734E"/>
    <w:rsid w:val="00CE2A0B"/>
    <w:rsid w:val="00CE3F4F"/>
    <w:rsid w:val="00D27E47"/>
    <w:rsid w:val="00D34C6E"/>
    <w:rsid w:val="00D40D55"/>
    <w:rsid w:val="00D91AEF"/>
    <w:rsid w:val="00DD25B7"/>
    <w:rsid w:val="00DD69B7"/>
    <w:rsid w:val="00E04B2C"/>
    <w:rsid w:val="00E04D2B"/>
    <w:rsid w:val="00E06C7B"/>
    <w:rsid w:val="00E104C2"/>
    <w:rsid w:val="00E26D58"/>
    <w:rsid w:val="00E50AEA"/>
    <w:rsid w:val="00E6645F"/>
    <w:rsid w:val="00E817F1"/>
    <w:rsid w:val="00F01CC0"/>
    <w:rsid w:val="00F121D2"/>
    <w:rsid w:val="00F909A0"/>
    <w:rsid w:val="01BB9B19"/>
    <w:rsid w:val="02169FE2"/>
    <w:rsid w:val="024860DB"/>
    <w:rsid w:val="03CB98A0"/>
    <w:rsid w:val="04AE7F46"/>
    <w:rsid w:val="05676901"/>
    <w:rsid w:val="07033962"/>
    <w:rsid w:val="0B4CD9FE"/>
    <w:rsid w:val="0BD61AC4"/>
    <w:rsid w:val="0BD6AA85"/>
    <w:rsid w:val="0DF387D1"/>
    <w:rsid w:val="0FB6F92B"/>
    <w:rsid w:val="10AA1BA8"/>
    <w:rsid w:val="122FC0BB"/>
    <w:rsid w:val="1234B132"/>
    <w:rsid w:val="13B0CF06"/>
    <w:rsid w:val="13DF6F1D"/>
    <w:rsid w:val="140A2308"/>
    <w:rsid w:val="186D1727"/>
    <w:rsid w:val="198FC823"/>
    <w:rsid w:val="1A4687A9"/>
    <w:rsid w:val="1C4FE1D7"/>
    <w:rsid w:val="1F3CF9DB"/>
    <w:rsid w:val="1F494A54"/>
    <w:rsid w:val="1FB2F2E3"/>
    <w:rsid w:val="20AD1E0D"/>
    <w:rsid w:val="21118D2D"/>
    <w:rsid w:val="2307BC60"/>
    <w:rsid w:val="2371EFFA"/>
    <w:rsid w:val="244BF4EC"/>
    <w:rsid w:val="287D2514"/>
    <w:rsid w:val="288B2877"/>
    <w:rsid w:val="2B0E949D"/>
    <w:rsid w:val="2B10CEEA"/>
    <w:rsid w:val="2C4F5887"/>
    <w:rsid w:val="2CC4CA71"/>
    <w:rsid w:val="2D568294"/>
    <w:rsid w:val="2E795D10"/>
    <w:rsid w:val="2F701D12"/>
    <w:rsid w:val="307D11FF"/>
    <w:rsid w:val="319FC2FB"/>
    <w:rsid w:val="32544AD3"/>
    <w:rsid w:val="333B935C"/>
    <w:rsid w:val="3390B537"/>
    <w:rsid w:val="34409126"/>
    <w:rsid w:val="356AE6A6"/>
    <w:rsid w:val="35761FEE"/>
    <w:rsid w:val="35A939D6"/>
    <w:rsid w:val="3673341E"/>
    <w:rsid w:val="38279D1B"/>
    <w:rsid w:val="3CFB9DFF"/>
    <w:rsid w:val="3D3451A5"/>
    <w:rsid w:val="3E311279"/>
    <w:rsid w:val="3EA3DDBC"/>
    <w:rsid w:val="4046F77D"/>
    <w:rsid w:val="40DBD227"/>
    <w:rsid w:val="41F9AEC4"/>
    <w:rsid w:val="4410E111"/>
    <w:rsid w:val="44714747"/>
    <w:rsid w:val="44EB4939"/>
    <w:rsid w:val="45633131"/>
    <w:rsid w:val="4763F27E"/>
    <w:rsid w:val="47F63A40"/>
    <w:rsid w:val="4AA121A6"/>
    <w:rsid w:val="4DD33402"/>
    <w:rsid w:val="5469A67F"/>
    <w:rsid w:val="55C680E0"/>
    <w:rsid w:val="577D1357"/>
    <w:rsid w:val="599FBB02"/>
    <w:rsid w:val="5AB1B70A"/>
    <w:rsid w:val="5C4D876B"/>
    <w:rsid w:val="61C7BE05"/>
    <w:rsid w:val="63B388F1"/>
    <w:rsid w:val="64589950"/>
    <w:rsid w:val="65F469B1"/>
    <w:rsid w:val="66FEAB0D"/>
    <w:rsid w:val="6759C6F8"/>
    <w:rsid w:val="6A2AD9B2"/>
    <w:rsid w:val="6BA4DF52"/>
    <w:rsid w:val="6BD7AF29"/>
    <w:rsid w:val="6CE10F4F"/>
    <w:rsid w:val="6D2680C4"/>
    <w:rsid w:val="6D93B6E7"/>
    <w:rsid w:val="6F47AB68"/>
    <w:rsid w:val="705E2186"/>
    <w:rsid w:val="72660368"/>
    <w:rsid w:val="72A9ECDB"/>
    <w:rsid w:val="72ABEC36"/>
    <w:rsid w:val="7373164E"/>
    <w:rsid w:val="743A667B"/>
    <w:rsid w:val="77F6BBF5"/>
    <w:rsid w:val="79532F40"/>
    <w:rsid w:val="7A475BC7"/>
    <w:rsid w:val="7B857183"/>
    <w:rsid w:val="7C4F2FDE"/>
    <w:rsid w:val="7E1D8CE6"/>
    <w:rsid w:val="7EDEFF1F"/>
    <w:rsid w:val="7EF8277C"/>
    <w:rsid w:val="7F05657B"/>
    <w:rsid w:val="7FFF9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660E8"/>
  <w15:chartTrackingRefBased/>
  <w15:docId w15:val="{368C79CC-26CB-481E-BDE1-44D63ABE6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673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F59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rafo2">
    <w:name w:val="parrafo_2"/>
    <w:basedOn w:val="Normal"/>
    <w:rsid w:val="00753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ennegrita">
    <w:name w:val="Strong"/>
    <w:basedOn w:val="Fuentedeprrafopredeter"/>
    <w:uiPriority w:val="22"/>
    <w:qFormat/>
    <w:rsid w:val="0075386F"/>
    <w:rPr>
      <w:b/>
      <w:bCs/>
    </w:rPr>
  </w:style>
  <w:style w:type="paragraph" w:customStyle="1" w:styleId="parrafo">
    <w:name w:val="parrafo"/>
    <w:basedOn w:val="Normal"/>
    <w:rsid w:val="00753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Prrafodelista">
    <w:name w:val="List Paragraph"/>
    <w:basedOn w:val="Normal"/>
    <w:uiPriority w:val="34"/>
    <w:qFormat/>
    <w:rsid w:val="0075386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53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table" w:styleId="Tablaconcuadrcula">
    <w:name w:val="Table Grid"/>
    <w:basedOn w:val="Tablanormal"/>
    <w:uiPriority w:val="39"/>
    <w:rsid w:val="00802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D57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572B"/>
  </w:style>
  <w:style w:type="paragraph" w:styleId="Piedepgina">
    <w:name w:val="footer"/>
    <w:basedOn w:val="Normal"/>
    <w:link w:val="PiedepginaCar"/>
    <w:uiPriority w:val="99"/>
    <w:unhideWhenUsed/>
    <w:rsid w:val="000D57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572B"/>
  </w:style>
  <w:style w:type="table" w:customStyle="1" w:styleId="Taulaambquadrcula1">
    <w:name w:val="Taula amb quadrícula1"/>
    <w:basedOn w:val="Tablanormal"/>
    <w:next w:val="Tablaconcuadrcula"/>
    <w:uiPriority w:val="59"/>
    <w:rsid w:val="000D57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ention">
    <w:name w:val="Mention"/>
    <w:basedOn w:val="Fuentedeprrafopredeter"/>
    <w:uiPriority w:val="99"/>
    <w:unhideWhenUsed/>
    <w:rPr>
      <w:color w:val="2B579A"/>
      <w:shd w:val="clear" w:color="auto" w:fill="E6E6E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B539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B539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B539A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812D2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67367"/>
    <w:rPr>
      <w:rFonts w:ascii="Times New Roman" w:eastAsia="Times New Roman" w:hAnsi="Times New Roman" w:cs="Times New Roman"/>
      <w:b/>
      <w:bCs/>
      <w:kern w:val="36"/>
      <w:sz w:val="48"/>
      <w:szCs w:val="48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suportddgi.atlassian.net/wiki/spaces/SCI/pages/1882488873/FAQ+s+Com+es+comptabilitzen+les+operacions+d+execuci+del+pressupost+de+despeses+d+autoritzaci+comprom+s+de+la+despesa+i+reconeixement+de+l+obligaci+al+programa+comptable+SICALWIN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C:\Users\ndominguez\Downloads\revisat_FAQ&#8217;S%20Com%20comptabilitzar%20les%20aportacions%20de%20seguretat%20social%20del%20desembre%20al%20programa%20comptable%20SICALwin%20modificada%20(1).docx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39A2E-E49E-4E9E-B201-F4BC9236AC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E7AE71-1E5F-4DAC-BBD0-62B82C00E9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C6CCB5-B0F3-4B7A-B8DF-B7EFDD1D4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33FF521-28B1-40FC-82F2-5A29FDF50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831</Words>
  <Characters>4737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5557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Núria Domínguez</dc:creator>
  <cp:keywords/>
  <dc:description/>
  <cp:lastModifiedBy>Cristina Rodríguez González</cp:lastModifiedBy>
  <cp:revision>2</cp:revision>
  <dcterms:created xsi:type="dcterms:W3CDTF">2022-01-03T12:31:00Z</dcterms:created>
  <dcterms:modified xsi:type="dcterms:W3CDTF">2022-01-03T12:31:00Z</dcterms:modified>
</cp:coreProperties>
</file>