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EA717" w14:textId="77777777" w:rsidR="002555DC" w:rsidRDefault="00463D95">
      <w:pPr>
        <w:autoSpaceDE w:val="0"/>
        <w:autoSpaceDN w:val="0"/>
        <w:adjustRightInd w:val="0"/>
        <w:spacing w:after="0" w:line="240" w:lineRule="auto"/>
        <w:jc w:val="both"/>
        <w:rPr>
          <w:rFonts w:ascii="Arial" w:hAnsi="Arial" w:cs="Arial"/>
          <w:b/>
          <w:bCs/>
        </w:rPr>
      </w:pPr>
      <w:r>
        <w:rPr>
          <w:rFonts w:ascii="Arial" w:hAnsi="Arial"/>
          <w:b/>
          <w:bCs/>
        </w:rPr>
        <w:t>INFORME DE LA [</w:t>
      </w:r>
      <w:r w:rsidRPr="00D81948">
        <w:rPr>
          <w:rFonts w:ascii="Arial" w:hAnsi="Arial"/>
          <w:b/>
          <w:bCs/>
          <w:highlight w:val="lightGray"/>
        </w:rPr>
        <w:t>TESORERÍA / INTERVENCIÓN</w:t>
      </w:r>
      <w:r>
        <w:rPr>
          <w:rFonts w:ascii="Arial" w:hAnsi="Arial"/>
          <w:b/>
          <w:bCs/>
        </w:rPr>
        <w:t>] GENERAL [</w:t>
      </w:r>
      <w:r w:rsidRPr="00D81948">
        <w:rPr>
          <w:rFonts w:ascii="Arial" w:hAnsi="Arial"/>
          <w:b/>
          <w:bCs/>
          <w:highlight w:val="lightGray"/>
        </w:rPr>
        <w:t>nombre entidad loca</w:t>
      </w:r>
      <w:r w:rsidRPr="00D81948">
        <w:rPr>
          <w:rFonts w:ascii="Arial" w:hAnsi="Arial" w:cs="Arial"/>
          <w:b/>
          <w:bCs/>
          <w:highlight w:val="lightGray"/>
        </w:rPr>
        <w:t>l</w:t>
      </w:r>
      <w:r>
        <w:rPr>
          <w:rFonts w:ascii="Arial" w:hAnsi="Arial" w:cs="Arial"/>
          <w:b/>
          <w:bCs/>
        </w:rPr>
        <w:t>]</w:t>
      </w:r>
    </w:p>
    <w:p w14:paraId="135CEC1C" w14:textId="77777777" w:rsidR="002555DC" w:rsidRDefault="002555DC">
      <w:pPr>
        <w:autoSpaceDE w:val="0"/>
        <w:autoSpaceDN w:val="0"/>
        <w:adjustRightInd w:val="0"/>
        <w:spacing w:after="0" w:line="240" w:lineRule="auto"/>
        <w:jc w:val="both"/>
        <w:rPr>
          <w:rFonts w:ascii="Arial" w:hAnsi="Arial" w:cs="Arial"/>
        </w:rPr>
      </w:pPr>
    </w:p>
    <w:p w14:paraId="6EDA9DF9" w14:textId="77777777" w:rsidR="002555DC" w:rsidRDefault="002555DC">
      <w:pPr>
        <w:autoSpaceDE w:val="0"/>
        <w:autoSpaceDN w:val="0"/>
        <w:adjustRightInd w:val="0"/>
        <w:spacing w:after="0" w:line="240" w:lineRule="auto"/>
        <w:jc w:val="both"/>
        <w:rPr>
          <w:rFonts w:ascii="Arial" w:hAnsi="Arial" w:cs="Arial"/>
        </w:rPr>
      </w:pPr>
    </w:p>
    <w:p w14:paraId="53EB5550" w14:textId="1FD46F45" w:rsidR="002555DC" w:rsidRDefault="00463D95">
      <w:pPr>
        <w:autoSpaceDE w:val="0"/>
        <w:autoSpaceDN w:val="0"/>
        <w:adjustRightInd w:val="0"/>
        <w:spacing w:after="0" w:line="240" w:lineRule="auto"/>
        <w:jc w:val="both"/>
        <w:rPr>
          <w:rFonts w:ascii="Arial" w:hAnsi="Arial"/>
        </w:rPr>
      </w:pPr>
      <w:r>
        <w:rPr>
          <w:rFonts w:ascii="Arial" w:hAnsi="Arial"/>
        </w:rPr>
        <w:t>[</w:t>
      </w:r>
      <w:r w:rsidR="00D81948">
        <w:rPr>
          <w:rFonts w:ascii="Arial" w:hAnsi="Arial"/>
          <w:shd w:val="clear" w:color="FFFFFF" w:fill="D9D9D9"/>
          <w:lang w:val="ca-ES"/>
        </w:rPr>
        <w:t>N</w:t>
      </w:r>
      <w:r w:rsidR="00D81948">
        <w:rPr>
          <w:rFonts w:ascii="Arial" w:hAnsi="Arial"/>
          <w:shd w:val="clear" w:color="FFFFFF" w:fill="D9D9D9"/>
        </w:rPr>
        <w:t>ombre</w:t>
      </w:r>
      <w:r>
        <w:rPr>
          <w:rFonts w:ascii="Arial" w:hAnsi="Arial"/>
          <w:shd w:val="clear" w:color="FFFFFF" w:fill="D9D9D9"/>
        </w:rPr>
        <w:t xml:space="preserve"> </w:t>
      </w:r>
      <w:r w:rsidR="00D81948">
        <w:rPr>
          <w:rFonts w:ascii="Arial" w:hAnsi="Arial"/>
          <w:shd w:val="clear" w:color="FFFFFF" w:fill="D9D9D9"/>
        </w:rPr>
        <w:t>T</w:t>
      </w:r>
      <w:r>
        <w:rPr>
          <w:rFonts w:ascii="Arial" w:hAnsi="Arial"/>
          <w:shd w:val="clear" w:color="FFFFFF" w:fill="D9D9D9"/>
        </w:rPr>
        <w:t>esorero</w:t>
      </w:r>
      <w:r>
        <w:rPr>
          <w:rFonts w:ascii="Arial" w:hAnsi="Arial"/>
          <w:shd w:val="clear" w:color="FFFFFF" w:fill="D9D9D9"/>
        </w:rPr>
        <w:t>/</w:t>
      </w:r>
      <w:r>
        <w:rPr>
          <w:rFonts w:ascii="Arial" w:hAnsi="Arial"/>
          <w:shd w:val="clear" w:color="FFFFFF" w:fill="D9D9D9"/>
        </w:rPr>
        <w:t xml:space="preserve">a, o </w:t>
      </w:r>
      <w:r w:rsidR="00D81948">
        <w:rPr>
          <w:rFonts w:ascii="Arial" w:hAnsi="Arial"/>
          <w:shd w:val="clear" w:color="FFFFFF" w:fill="D9D9D9"/>
        </w:rPr>
        <w:t>en su defecto</w:t>
      </w:r>
      <w:r>
        <w:rPr>
          <w:rFonts w:ascii="Arial" w:hAnsi="Arial"/>
          <w:shd w:val="clear" w:color="FFFFFF" w:fill="D9D9D9"/>
        </w:rPr>
        <w:t xml:space="preserve">, </w:t>
      </w:r>
      <w:r w:rsidR="00D81948">
        <w:rPr>
          <w:rFonts w:ascii="Arial" w:hAnsi="Arial"/>
          <w:shd w:val="clear" w:color="FFFFFF" w:fill="D9D9D9"/>
        </w:rPr>
        <w:t>I</w:t>
      </w:r>
      <w:r>
        <w:rPr>
          <w:rFonts w:ascii="Arial" w:hAnsi="Arial"/>
          <w:shd w:val="clear" w:color="FFFFFF" w:fill="D9D9D9"/>
        </w:rPr>
        <w:t>nterventor</w:t>
      </w:r>
      <w:r>
        <w:rPr>
          <w:rFonts w:ascii="Arial" w:hAnsi="Arial"/>
          <w:shd w:val="clear" w:color="FFFFFF" w:fill="D9D9D9"/>
        </w:rPr>
        <w:t>/</w:t>
      </w:r>
      <w:r>
        <w:rPr>
          <w:rFonts w:ascii="Arial" w:hAnsi="Arial"/>
          <w:shd w:val="clear" w:color="FFFFFF" w:fill="D9D9D9"/>
        </w:rPr>
        <w:t>a</w:t>
      </w:r>
      <w:r>
        <w:rPr>
          <w:rFonts w:ascii="Arial" w:hAnsi="Arial"/>
        </w:rPr>
        <w:t>], [</w:t>
      </w:r>
      <w:r w:rsidR="00D81948">
        <w:rPr>
          <w:rFonts w:ascii="Arial" w:hAnsi="Arial"/>
          <w:shd w:val="clear" w:color="FFFFFF" w:fill="D9D9D9"/>
        </w:rPr>
        <w:t>T</w:t>
      </w:r>
      <w:r>
        <w:rPr>
          <w:rFonts w:ascii="Arial" w:hAnsi="Arial"/>
          <w:shd w:val="clear" w:color="FFFFFF" w:fill="D9D9D9"/>
        </w:rPr>
        <w:t>esorero</w:t>
      </w:r>
      <w:r>
        <w:rPr>
          <w:rFonts w:ascii="Arial" w:hAnsi="Arial"/>
          <w:shd w:val="clear" w:color="FFFFFF" w:fill="D9D9D9"/>
        </w:rPr>
        <w:t>/</w:t>
      </w:r>
      <w:r>
        <w:rPr>
          <w:rFonts w:ascii="Arial" w:hAnsi="Arial"/>
          <w:shd w:val="clear" w:color="FFFFFF" w:fill="D9D9D9"/>
        </w:rPr>
        <w:t xml:space="preserve">a / </w:t>
      </w:r>
      <w:r w:rsidR="00D81948">
        <w:rPr>
          <w:rFonts w:ascii="Arial" w:hAnsi="Arial"/>
          <w:shd w:val="clear" w:color="FFFFFF" w:fill="D9D9D9"/>
        </w:rPr>
        <w:t>I</w:t>
      </w:r>
      <w:r>
        <w:rPr>
          <w:rFonts w:ascii="Arial" w:hAnsi="Arial"/>
          <w:shd w:val="clear" w:color="FFFFFF" w:fill="D9D9D9"/>
        </w:rPr>
        <w:t>nterventor</w:t>
      </w:r>
      <w:r>
        <w:rPr>
          <w:rFonts w:ascii="Arial" w:hAnsi="Arial"/>
          <w:shd w:val="clear" w:color="FFFFFF" w:fill="D9D9D9"/>
        </w:rPr>
        <w:t>/</w:t>
      </w:r>
      <w:r>
        <w:rPr>
          <w:rFonts w:ascii="Arial" w:hAnsi="Arial"/>
          <w:shd w:val="clear" w:color="FFFFFF" w:fill="D9D9D9"/>
        </w:rPr>
        <w:t>a</w:t>
      </w:r>
      <w:r>
        <w:rPr>
          <w:rFonts w:ascii="Arial" w:hAnsi="Arial"/>
        </w:rPr>
        <w:t xml:space="preserve">] </w:t>
      </w:r>
      <w:r w:rsidR="00D81948">
        <w:rPr>
          <w:rFonts w:ascii="Arial" w:hAnsi="Arial"/>
        </w:rPr>
        <w:t>G</w:t>
      </w:r>
      <w:r>
        <w:rPr>
          <w:rFonts w:ascii="Arial" w:hAnsi="Arial"/>
        </w:rPr>
        <w:t>eneral de [</w:t>
      </w:r>
      <w:r w:rsidRPr="00D81948">
        <w:rPr>
          <w:rFonts w:ascii="Arial" w:hAnsi="Arial"/>
          <w:highlight w:val="lightGray"/>
        </w:rPr>
        <w:t>nombre entidad local</w:t>
      </w:r>
      <w:r>
        <w:rPr>
          <w:rFonts w:ascii="Arial" w:hAnsi="Arial"/>
        </w:rPr>
        <w:t xml:space="preserve">], en el ejercicio de las funciones encomendadas por el </w:t>
      </w:r>
      <w:r>
        <w:rPr>
          <w:rFonts w:ascii="Arial" w:hAnsi="Arial"/>
        </w:rPr>
        <w:t xml:space="preserve">artículo 196 del Real Decreto Legislativo 2 / 2004, de 5 de marzo, por el que se aprueba el texto refundido de la </w:t>
      </w:r>
      <w:r w:rsidR="00D81948">
        <w:rPr>
          <w:rFonts w:ascii="Arial" w:hAnsi="Arial"/>
        </w:rPr>
        <w:t>L</w:t>
      </w:r>
      <w:r>
        <w:rPr>
          <w:rFonts w:ascii="Arial" w:hAnsi="Arial"/>
        </w:rPr>
        <w:t xml:space="preserve">ey </w:t>
      </w:r>
      <w:r w:rsidR="00D81948">
        <w:rPr>
          <w:rFonts w:ascii="Arial" w:hAnsi="Arial"/>
        </w:rPr>
        <w:t>R</w:t>
      </w:r>
      <w:r>
        <w:rPr>
          <w:rFonts w:ascii="Arial" w:hAnsi="Arial"/>
        </w:rPr>
        <w:t xml:space="preserve">eguladora de las </w:t>
      </w:r>
      <w:r w:rsidR="00D81948">
        <w:rPr>
          <w:rFonts w:ascii="Arial" w:hAnsi="Arial"/>
        </w:rPr>
        <w:t>H</w:t>
      </w:r>
      <w:r>
        <w:rPr>
          <w:rFonts w:ascii="Arial" w:hAnsi="Arial"/>
        </w:rPr>
        <w:t xml:space="preserve">aciendas </w:t>
      </w:r>
      <w:r w:rsidR="00D81948">
        <w:rPr>
          <w:rFonts w:ascii="Arial" w:hAnsi="Arial"/>
        </w:rPr>
        <w:t>L</w:t>
      </w:r>
      <w:r>
        <w:rPr>
          <w:rFonts w:ascii="Arial" w:hAnsi="Arial"/>
        </w:rPr>
        <w:t xml:space="preserve">ocales, y por los artículos 2 y 5.1.c) del Real </w:t>
      </w:r>
      <w:r w:rsidR="00D81948">
        <w:rPr>
          <w:rFonts w:ascii="Arial" w:hAnsi="Arial"/>
        </w:rPr>
        <w:t>D</w:t>
      </w:r>
      <w:r>
        <w:rPr>
          <w:rFonts w:ascii="Arial" w:hAnsi="Arial"/>
        </w:rPr>
        <w:t xml:space="preserve">ecreto 128/2018, de 16 de marzo, por el que se regula el </w:t>
      </w:r>
      <w:r w:rsidR="00D81948">
        <w:rPr>
          <w:rFonts w:ascii="Arial" w:hAnsi="Arial"/>
        </w:rPr>
        <w:t>r</w:t>
      </w:r>
      <w:r>
        <w:rPr>
          <w:rFonts w:ascii="Arial" w:hAnsi="Arial"/>
        </w:rPr>
        <w:t>ég</w:t>
      </w:r>
      <w:r>
        <w:rPr>
          <w:rFonts w:ascii="Arial" w:hAnsi="Arial"/>
        </w:rPr>
        <w:t xml:space="preserve">imen jurídico de los funcionarios de </w:t>
      </w:r>
      <w:r w:rsidR="00D81948">
        <w:rPr>
          <w:rFonts w:ascii="Arial" w:hAnsi="Arial"/>
        </w:rPr>
        <w:t>A</w:t>
      </w:r>
      <w:r>
        <w:rPr>
          <w:rFonts w:ascii="Arial" w:hAnsi="Arial"/>
        </w:rPr>
        <w:t xml:space="preserve">dministración </w:t>
      </w:r>
      <w:r w:rsidR="00D81948">
        <w:rPr>
          <w:rFonts w:ascii="Arial" w:hAnsi="Arial"/>
        </w:rPr>
        <w:t>L</w:t>
      </w:r>
      <w:r>
        <w:rPr>
          <w:rFonts w:ascii="Arial" w:hAnsi="Arial"/>
        </w:rPr>
        <w:t>ocal con habilitación de carácter nacional, se emite el siguiente informe:</w:t>
      </w:r>
    </w:p>
    <w:p w14:paraId="0634C1A5" w14:textId="77777777" w:rsidR="002555DC" w:rsidRDefault="002555DC">
      <w:pPr>
        <w:autoSpaceDE w:val="0"/>
        <w:autoSpaceDN w:val="0"/>
        <w:adjustRightInd w:val="0"/>
        <w:spacing w:after="0" w:line="240" w:lineRule="auto"/>
        <w:jc w:val="both"/>
        <w:rPr>
          <w:rFonts w:ascii="Arial" w:hAnsi="Arial"/>
        </w:rPr>
      </w:pPr>
    </w:p>
    <w:p w14:paraId="30F599C7" w14:textId="48EAF1B9" w:rsidR="002555DC" w:rsidRDefault="00463D95" w:rsidP="00D81948">
      <w:pPr>
        <w:pStyle w:val="Prrafodelista"/>
        <w:numPr>
          <w:ilvl w:val="0"/>
          <w:numId w:val="1"/>
        </w:numPr>
        <w:autoSpaceDE w:val="0"/>
        <w:autoSpaceDN w:val="0"/>
        <w:adjustRightInd w:val="0"/>
        <w:spacing w:after="0" w:line="240" w:lineRule="auto"/>
        <w:ind w:left="993" w:hanging="993"/>
        <w:jc w:val="both"/>
        <w:rPr>
          <w:rFonts w:ascii="Arial" w:hAnsi="Arial" w:cs="Arial"/>
          <w:i/>
          <w:iCs/>
        </w:rPr>
      </w:pPr>
      <w:r>
        <w:rPr>
          <w:rFonts w:ascii="Arial" w:hAnsi="Arial"/>
        </w:rPr>
        <w:t>Como mecanismo de transparencia en materia de cumplimiento de las obligaciones de pago, el artículo cuarto, en sus apartados 3º</w:t>
      </w:r>
      <w:r>
        <w:rPr>
          <w:rFonts w:ascii="Arial" w:hAnsi="Arial"/>
        </w:rPr>
        <w:t xml:space="preserve"> y 4º, de la Ley 15/2010 de modificación de la Ley 3/2004, de 29 de diciembre, por la se establecen medidas de lucha contra la morosidad en las operaciones comerciales establece que</w:t>
      </w:r>
      <w:r>
        <w:rPr>
          <w:rFonts w:ascii="Arial" w:hAnsi="Arial"/>
          <w:i/>
          <w:iCs/>
        </w:rPr>
        <w:t xml:space="preserve"> «3. </w:t>
      </w:r>
      <w:r w:rsidR="00D81948" w:rsidRPr="00D81948">
        <w:rPr>
          <w:rFonts w:ascii="Arial" w:hAnsi="Arial" w:cs="Arial"/>
          <w:i/>
          <w:iCs/>
          <w:color w:val="000000"/>
          <w:shd w:val="clear" w:color="auto" w:fill="FFFFFF"/>
        </w:rPr>
        <w:t>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 plazo.</w:t>
      </w:r>
      <w:r>
        <w:rPr>
          <w:rFonts w:ascii="Arial" w:hAnsi="Arial"/>
          <w:i/>
          <w:iCs/>
        </w:rPr>
        <w:t xml:space="preserve"> </w:t>
      </w:r>
      <w:r w:rsidRPr="00D81948">
        <w:rPr>
          <w:rFonts w:ascii="Arial" w:hAnsi="Arial" w:cs="Arial"/>
          <w:i/>
          <w:iCs/>
        </w:rPr>
        <w:t xml:space="preserve">4. </w:t>
      </w:r>
      <w:r w:rsidR="00D81948" w:rsidRPr="00D81948">
        <w:rPr>
          <w:rFonts w:ascii="Arial" w:hAnsi="Arial" w:cs="Arial"/>
          <w:i/>
          <w:iCs/>
          <w:color w:val="000000"/>
          <w:shd w:val="clear" w:color="auto" w:fill="FFFFFF"/>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w:t>
      </w:r>
      <w:r w:rsidR="00D81948" w:rsidRPr="00D81948">
        <w:rPr>
          <w:rFonts w:ascii="Arial" w:hAnsi="Arial" w:cs="Arial"/>
          <w:i/>
          <w:iCs/>
        </w:rPr>
        <w:t xml:space="preserve"> </w:t>
      </w:r>
      <w:r w:rsidRPr="00D81948">
        <w:rPr>
          <w:rFonts w:ascii="Arial" w:hAnsi="Arial" w:cs="Arial"/>
          <w:i/>
          <w:iCs/>
        </w:rPr>
        <w:t>[...]</w:t>
      </w:r>
      <w:r w:rsidRPr="00D81948">
        <w:rPr>
          <w:rFonts w:ascii="Arial" w:hAnsi="Arial" w:cs="Arial"/>
          <w:i/>
          <w:iCs/>
        </w:rPr>
        <w:t>»</w:t>
      </w:r>
    </w:p>
    <w:p w14:paraId="59194208" w14:textId="77777777" w:rsidR="002555DC" w:rsidRDefault="002555DC">
      <w:pPr>
        <w:pStyle w:val="Prrafodelista"/>
        <w:tabs>
          <w:tab w:val="left" w:pos="851"/>
        </w:tabs>
        <w:autoSpaceDE w:val="0"/>
        <w:autoSpaceDN w:val="0"/>
        <w:adjustRightInd w:val="0"/>
        <w:spacing w:after="0" w:line="240" w:lineRule="auto"/>
        <w:ind w:left="851"/>
        <w:jc w:val="both"/>
        <w:rPr>
          <w:rFonts w:ascii="Arial" w:hAnsi="Arial" w:cs="Arial"/>
          <w:i/>
          <w:iCs/>
        </w:rPr>
      </w:pPr>
    </w:p>
    <w:p w14:paraId="39070579" w14:textId="78BD05C2" w:rsidR="002555DC" w:rsidRDefault="00463D95" w:rsidP="00D81948">
      <w:pPr>
        <w:pStyle w:val="Prrafodelista"/>
        <w:numPr>
          <w:ilvl w:val="0"/>
          <w:numId w:val="1"/>
        </w:numPr>
        <w:autoSpaceDE w:val="0"/>
        <w:autoSpaceDN w:val="0"/>
        <w:adjustRightInd w:val="0"/>
        <w:spacing w:after="0" w:line="240" w:lineRule="auto"/>
        <w:ind w:left="993" w:hanging="993"/>
        <w:jc w:val="both"/>
        <w:rPr>
          <w:rFonts w:ascii="Arial" w:hAnsi="Arial" w:cs="Arial"/>
        </w:rPr>
      </w:pPr>
      <w:r>
        <w:rPr>
          <w:rFonts w:ascii="Arial" w:hAnsi="Arial"/>
        </w:rPr>
        <w:t>El ámbito objetivo de este informe, de conformidad con el artículo 3 de la Ley 3/2</w:t>
      </w:r>
      <w:r>
        <w:rPr>
          <w:rFonts w:ascii="Arial" w:hAnsi="Arial"/>
        </w:rPr>
        <w:t xml:space="preserve">004, según redacción dada por la Ley 15/2010, son los pagos efectuados como contraprestación en las operaciones comerciales realizadas entre las empresas y </w:t>
      </w:r>
      <w:r w:rsidR="00D81948">
        <w:rPr>
          <w:rFonts w:ascii="Arial" w:hAnsi="Arial"/>
        </w:rPr>
        <w:t>la</w:t>
      </w:r>
      <w:r>
        <w:rPr>
          <w:rFonts w:ascii="Arial" w:hAnsi="Arial"/>
        </w:rPr>
        <w:t xml:space="preserve"> Administración, de conformidad con lo dispuesto en la Ley de </w:t>
      </w:r>
      <w:r w:rsidR="00D81948">
        <w:rPr>
          <w:rFonts w:ascii="Arial" w:hAnsi="Arial"/>
        </w:rPr>
        <w:t>C</w:t>
      </w:r>
      <w:r>
        <w:rPr>
          <w:rFonts w:ascii="Arial" w:hAnsi="Arial"/>
        </w:rPr>
        <w:t xml:space="preserve">ontratos del </w:t>
      </w:r>
      <w:r w:rsidR="00D81948">
        <w:rPr>
          <w:rFonts w:ascii="Arial" w:hAnsi="Arial"/>
        </w:rPr>
        <w:t>S</w:t>
      </w:r>
      <w:r>
        <w:rPr>
          <w:rFonts w:ascii="Arial" w:hAnsi="Arial"/>
        </w:rPr>
        <w:t xml:space="preserve">ector </w:t>
      </w:r>
      <w:r w:rsidR="00D81948">
        <w:rPr>
          <w:rFonts w:ascii="Arial" w:hAnsi="Arial"/>
        </w:rPr>
        <w:t>P</w:t>
      </w:r>
      <w:r>
        <w:rPr>
          <w:rFonts w:ascii="Arial" w:hAnsi="Arial"/>
        </w:rPr>
        <w:t>úblico. Quedan</w:t>
      </w:r>
      <w:r>
        <w:rPr>
          <w:rFonts w:ascii="Arial" w:hAnsi="Arial"/>
        </w:rPr>
        <w:t xml:space="preserve"> fuera del ámbito de aplicación de la Ley 3/2004</w:t>
      </w:r>
      <w:r>
        <w:rPr>
          <w:rFonts w:ascii="Arial" w:hAnsi="Arial" w:cs="Arial"/>
        </w:rPr>
        <w:t>:</w:t>
      </w:r>
    </w:p>
    <w:p w14:paraId="5D69C141" w14:textId="77777777" w:rsidR="002555DC" w:rsidRDefault="00463D95">
      <w:pPr>
        <w:pStyle w:val="Prrafodelista"/>
        <w:numPr>
          <w:ilvl w:val="0"/>
          <w:numId w:val="2"/>
        </w:numPr>
        <w:autoSpaceDE w:val="0"/>
        <w:autoSpaceDN w:val="0"/>
        <w:adjustRightInd w:val="0"/>
        <w:spacing w:after="0" w:line="240" w:lineRule="auto"/>
        <w:ind w:left="1418"/>
        <w:jc w:val="both"/>
        <w:rPr>
          <w:rFonts w:ascii="Arial" w:hAnsi="Arial" w:cs="Arial"/>
        </w:rPr>
      </w:pPr>
      <w:r>
        <w:rPr>
          <w:rFonts w:ascii="Arial" w:hAnsi="Arial"/>
        </w:rPr>
        <w:t>Los pagos efectuados en las operaciones comerciales en las que intervengan consumidores.</w:t>
      </w:r>
    </w:p>
    <w:p w14:paraId="3D27D3B3" w14:textId="77777777" w:rsidR="002555DC" w:rsidRDefault="00463D95">
      <w:pPr>
        <w:pStyle w:val="Prrafodelista"/>
        <w:numPr>
          <w:ilvl w:val="0"/>
          <w:numId w:val="2"/>
        </w:numPr>
        <w:autoSpaceDE w:val="0"/>
        <w:autoSpaceDN w:val="0"/>
        <w:adjustRightInd w:val="0"/>
        <w:spacing w:after="0" w:line="240" w:lineRule="auto"/>
        <w:ind w:left="1418"/>
        <w:jc w:val="both"/>
        <w:rPr>
          <w:rFonts w:ascii="Arial" w:hAnsi="Arial" w:cs="Arial"/>
        </w:rPr>
      </w:pPr>
      <w:r>
        <w:rPr>
          <w:rFonts w:ascii="Arial" w:hAnsi="Arial"/>
        </w:rPr>
        <w:t>Los intereses relacionados con la legislación en materia de cheques, pagarés y letras de cambio y los pagos de indemn</w:t>
      </w:r>
      <w:r>
        <w:rPr>
          <w:rFonts w:ascii="Arial" w:hAnsi="Arial"/>
        </w:rPr>
        <w:t>ización por daños, incluidos los pagos por entidades aseguradoras</w:t>
      </w:r>
      <w:r>
        <w:rPr>
          <w:rFonts w:ascii="Arial" w:hAnsi="Arial" w:cs="Arial"/>
        </w:rPr>
        <w:t>.</w:t>
      </w:r>
    </w:p>
    <w:p w14:paraId="3BF141E2" w14:textId="77777777" w:rsidR="002555DC" w:rsidRDefault="00463D95">
      <w:pPr>
        <w:pStyle w:val="Prrafodelista"/>
        <w:numPr>
          <w:ilvl w:val="0"/>
          <w:numId w:val="2"/>
        </w:numPr>
        <w:autoSpaceDE w:val="0"/>
        <w:autoSpaceDN w:val="0"/>
        <w:adjustRightInd w:val="0"/>
        <w:spacing w:after="0" w:line="240" w:lineRule="auto"/>
        <w:ind w:left="1418"/>
        <w:jc w:val="both"/>
        <w:rPr>
          <w:rFonts w:ascii="Arial" w:hAnsi="Arial" w:cs="Arial"/>
        </w:rPr>
      </w:pPr>
      <w:r>
        <w:rPr>
          <w:rFonts w:ascii="Arial" w:hAnsi="Arial"/>
        </w:rPr>
        <w:t>Las deudas sometidas a procedimientos concursales incoados contra el deudor, que se regirán por lo establecido en su legislación especial</w:t>
      </w:r>
      <w:r>
        <w:rPr>
          <w:rFonts w:ascii="Arial" w:hAnsi="Arial" w:cs="Arial"/>
        </w:rPr>
        <w:t>.</w:t>
      </w:r>
    </w:p>
    <w:p w14:paraId="31795C5C" w14:textId="77777777" w:rsidR="002555DC" w:rsidRDefault="002555DC">
      <w:pPr>
        <w:pStyle w:val="Prrafodelista"/>
        <w:autoSpaceDE w:val="0"/>
        <w:autoSpaceDN w:val="0"/>
        <w:adjustRightInd w:val="0"/>
        <w:spacing w:after="0" w:line="240" w:lineRule="auto"/>
        <w:ind w:left="1418"/>
        <w:jc w:val="both"/>
        <w:rPr>
          <w:rFonts w:ascii="Arial" w:hAnsi="Arial" w:cs="Arial"/>
        </w:rPr>
      </w:pPr>
    </w:p>
    <w:p w14:paraId="17D9066C" w14:textId="55AF78C5" w:rsidR="002555DC" w:rsidRDefault="00463D95" w:rsidP="00D81948">
      <w:pPr>
        <w:pStyle w:val="Prrafodelista"/>
        <w:numPr>
          <w:ilvl w:val="0"/>
          <w:numId w:val="1"/>
        </w:numPr>
        <w:autoSpaceDE w:val="0"/>
        <w:autoSpaceDN w:val="0"/>
        <w:adjustRightInd w:val="0"/>
        <w:spacing w:after="0" w:line="240" w:lineRule="auto"/>
        <w:ind w:left="993" w:hanging="993"/>
        <w:jc w:val="both"/>
        <w:rPr>
          <w:rFonts w:ascii="Arial" w:hAnsi="Arial" w:cs="Arial"/>
        </w:rPr>
      </w:pPr>
      <w:r>
        <w:rPr>
          <w:rFonts w:ascii="Arial" w:hAnsi="Arial" w:cs="Arial"/>
          <w:lang w:val="ca-ES"/>
        </w:rPr>
        <w:t>Plazo</w:t>
      </w:r>
      <w:r w:rsidR="00D81948">
        <w:rPr>
          <w:rFonts w:ascii="Arial" w:hAnsi="Arial" w:cs="Arial"/>
          <w:lang w:val="ca-ES"/>
        </w:rPr>
        <w:t>s</w:t>
      </w:r>
      <w:r>
        <w:rPr>
          <w:rFonts w:ascii="Arial" w:hAnsi="Arial" w:cs="Arial"/>
          <w:lang w:val="ca-ES"/>
        </w:rPr>
        <w:t xml:space="preserve"> </w:t>
      </w:r>
      <w:r>
        <w:rPr>
          <w:rFonts w:ascii="Arial" w:hAnsi="Arial" w:cs="Arial"/>
        </w:rPr>
        <w:t xml:space="preserve">de </w:t>
      </w:r>
      <w:r w:rsidR="00D81948">
        <w:rPr>
          <w:rFonts w:ascii="Arial" w:hAnsi="Arial" w:cs="Arial"/>
        </w:rPr>
        <w:t>pago</w:t>
      </w:r>
      <w:r>
        <w:rPr>
          <w:rFonts w:ascii="Arial" w:hAnsi="Arial" w:cs="Arial"/>
        </w:rPr>
        <w:t>.</w:t>
      </w:r>
      <w:r>
        <w:rPr>
          <w:rFonts w:ascii="Arial" w:hAnsi="Arial" w:cs="Arial"/>
          <w:lang w:val="ca-ES"/>
        </w:rPr>
        <w:t xml:space="preserve"> </w:t>
      </w:r>
      <w:r>
        <w:rPr>
          <w:rFonts w:ascii="Arial" w:hAnsi="Arial"/>
        </w:rPr>
        <w:t>El apartado 4 del artículo 19</w:t>
      </w:r>
      <w:r>
        <w:rPr>
          <w:rFonts w:ascii="Arial" w:hAnsi="Arial"/>
        </w:rPr>
        <w:t xml:space="preserve">8 de la Ley 9/2017, de 8 de noviembre, de </w:t>
      </w:r>
      <w:r w:rsidR="00D81948">
        <w:rPr>
          <w:rFonts w:ascii="Arial" w:hAnsi="Arial"/>
        </w:rPr>
        <w:t>C</w:t>
      </w:r>
      <w:r>
        <w:rPr>
          <w:rFonts w:ascii="Arial" w:hAnsi="Arial"/>
        </w:rPr>
        <w:t xml:space="preserve">ontratos del </w:t>
      </w:r>
      <w:r w:rsidR="00D81948">
        <w:rPr>
          <w:rFonts w:ascii="Arial" w:hAnsi="Arial"/>
        </w:rPr>
        <w:t>S</w:t>
      </w:r>
      <w:r>
        <w:rPr>
          <w:rFonts w:ascii="Arial" w:hAnsi="Arial"/>
        </w:rPr>
        <w:t xml:space="preserve">ector </w:t>
      </w:r>
      <w:r w:rsidR="00D81948">
        <w:rPr>
          <w:rFonts w:ascii="Arial" w:hAnsi="Arial"/>
        </w:rPr>
        <w:t>P</w:t>
      </w:r>
      <w:r>
        <w:rPr>
          <w:rFonts w:ascii="Arial" w:hAnsi="Arial"/>
        </w:rPr>
        <w:t>úblico, establece que</w:t>
      </w:r>
      <w:r>
        <w:rPr>
          <w:rFonts w:ascii="Arial" w:hAnsi="Arial" w:cs="Arial"/>
        </w:rPr>
        <w:t>:</w:t>
      </w:r>
    </w:p>
    <w:p w14:paraId="7BD81E45" w14:textId="1366638D" w:rsidR="002555DC" w:rsidRDefault="00463D95" w:rsidP="00D81948">
      <w:pPr>
        <w:pStyle w:val="Prrafodelista"/>
        <w:autoSpaceDE w:val="0"/>
        <w:autoSpaceDN w:val="0"/>
        <w:adjustRightInd w:val="0"/>
        <w:spacing w:after="0" w:line="240" w:lineRule="auto"/>
        <w:ind w:left="993"/>
        <w:jc w:val="both"/>
        <w:rPr>
          <w:rFonts w:ascii="Arial" w:hAnsi="Arial" w:cs="Arial"/>
          <w:i/>
          <w:iCs/>
        </w:rPr>
      </w:pPr>
      <w:r>
        <w:rPr>
          <w:rFonts w:ascii="Arial" w:hAnsi="Arial"/>
          <w:i/>
          <w:iCs/>
        </w:rPr>
        <w:t>«</w:t>
      </w:r>
      <w:r w:rsidR="00D81948" w:rsidRPr="00D81948">
        <w:rPr>
          <w:rFonts w:ascii="Arial" w:hAnsi="Arial" w:cs="Arial"/>
          <w:i/>
          <w:iCs/>
          <w:color w:val="000000"/>
          <w:shd w:val="clear" w:color="auto" w:fill="FFFFFF"/>
        </w:rPr>
        <w:t>La Administración tendrá la obligación de abonar el precio dentro de los treinta días siguientes a la fecha de aprobación de las certificaciones de obra o de los documentos que acrediten la conformidad con lo dispuesto en el contrato de los bienes entregados o servicios prestados, sin perjuicio de lo establecido en el apartado 4 del artículo 210,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w:t>
      </w:r>
      <w:r>
        <w:rPr>
          <w:rFonts w:ascii="Arial" w:hAnsi="Arial"/>
          <w:i/>
          <w:iCs/>
        </w:rPr>
        <w:t xml:space="preserve">. </w:t>
      </w:r>
      <w:r>
        <w:rPr>
          <w:rFonts w:ascii="Arial" w:hAnsi="Arial"/>
          <w:i/>
          <w:iCs/>
        </w:rPr>
        <w:t>[...].</w:t>
      </w:r>
      <w:r w:rsidRPr="00D81948">
        <w:rPr>
          <w:rFonts w:ascii="Arial" w:hAnsi="Arial" w:cs="Arial"/>
          <w:i/>
          <w:iCs/>
        </w:rPr>
        <w:t xml:space="preserve"> </w:t>
      </w:r>
      <w:r w:rsidR="00D81948" w:rsidRPr="00D81948">
        <w:rPr>
          <w:rFonts w:ascii="Arial" w:hAnsi="Arial" w:cs="Arial"/>
          <w:i/>
          <w:iCs/>
          <w:color w:val="000000"/>
          <w:shd w:val="clear" w:color="auto" w:fill="FFFFFF"/>
        </w:rPr>
        <w:t xml:space="preserve">Sin perjuicio de lo establecido en el apartado 4 del artículo 210 y en el apartado 1 del artículo 243, la Administración deberá aprobar las </w:t>
      </w:r>
      <w:r w:rsidR="00D81948" w:rsidRPr="00D81948">
        <w:rPr>
          <w:rFonts w:ascii="Arial" w:hAnsi="Arial" w:cs="Arial"/>
          <w:i/>
          <w:iCs/>
          <w:color w:val="000000"/>
          <w:shd w:val="clear" w:color="auto" w:fill="FFFFFF"/>
        </w:rPr>
        <w:lastRenderedPageBreak/>
        <w:t>certificaciones de obra o los documentos que acrediten la conformidad con lo dispuesto en el contrato de los bienes entregados o servicios prestados dentro de los treinta días siguientes a la entrega efectiva de los bienes o prestación del servicio</w:t>
      </w:r>
      <w:r w:rsidRPr="00D81948">
        <w:rPr>
          <w:rFonts w:ascii="Arial" w:hAnsi="Arial" w:cs="Arial"/>
          <w:i/>
          <w:iCs/>
        </w:rPr>
        <w:t>.</w:t>
      </w:r>
      <w:r>
        <w:rPr>
          <w:rFonts w:ascii="Arial" w:hAnsi="Arial" w:cs="Arial"/>
          <w:i/>
          <w:iCs/>
        </w:rPr>
        <w:t xml:space="preserve"> [...]»</w:t>
      </w:r>
    </w:p>
    <w:p w14:paraId="2D0E3062" w14:textId="77777777" w:rsidR="002555DC" w:rsidRDefault="002555DC">
      <w:pPr>
        <w:pStyle w:val="Prrafodelista"/>
        <w:tabs>
          <w:tab w:val="left" w:pos="851"/>
        </w:tabs>
        <w:autoSpaceDE w:val="0"/>
        <w:autoSpaceDN w:val="0"/>
        <w:adjustRightInd w:val="0"/>
        <w:spacing w:after="0" w:line="240" w:lineRule="auto"/>
        <w:ind w:left="851"/>
        <w:jc w:val="both"/>
        <w:rPr>
          <w:rFonts w:ascii="Arial" w:hAnsi="Arial" w:cs="Arial"/>
          <w:i/>
          <w:iCs/>
        </w:rPr>
      </w:pPr>
    </w:p>
    <w:p w14:paraId="1462E80F" w14:textId="77777777" w:rsidR="002555DC" w:rsidRDefault="00463D95" w:rsidP="00D81948">
      <w:pPr>
        <w:pStyle w:val="Prrafodelista"/>
        <w:numPr>
          <w:ilvl w:val="0"/>
          <w:numId w:val="1"/>
        </w:numPr>
        <w:autoSpaceDE w:val="0"/>
        <w:autoSpaceDN w:val="0"/>
        <w:adjustRightInd w:val="0"/>
        <w:spacing w:after="0" w:line="240" w:lineRule="auto"/>
        <w:ind w:left="993" w:hanging="993"/>
        <w:jc w:val="both"/>
        <w:rPr>
          <w:rFonts w:ascii="Arial" w:hAnsi="Arial" w:cs="Arial"/>
        </w:rPr>
      </w:pPr>
      <w:r>
        <w:rPr>
          <w:rFonts w:ascii="Arial" w:hAnsi="Arial" w:cs="Arial"/>
        </w:rPr>
        <w:t>P</w:t>
      </w:r>
      <w:r>
        <w:rPr>
          <w:rFonts w:ascii="Arial" w:hAnsi="Arial" w:cs="Arial"/>
          <w:lang w:val="ca-ES"/>
        </w:rPr>
        <w:t xml:space="preserve">ara </w:t>
      </w:r>
      <w:r>
        <w:rPr>
          <w:rFonts w:ascii="Arial" w:hAnsi="Arial"/>
        </w:rPr>
        <w:t>determinar las operaciones que se encuentran dentro del periodo legal de pago, fuera del periodo legal de pa</w:t>
      </w:r>
      <w:r>
        <w:rPr>
          <w:rFonts w:ascii="Arial" w:hAnsi="Arial"/>
        </w:rPr>
        <w:t>go y el periodo medio de pago en días, por lo que se refiere a este informe, se tendrá en cuenta como fecha de inicio del cómputo, la fecha de entrada de la factura o del documento justificativo al registro administrativo y como fecha fin del cómputo, la f</w:t>
      </w:r>
      <w:r>
        <w:rPr>
          <w:rFonts w:ascii="Arial" w:hAnsi="Arial"/>
        </w:rPr>
        <w:t>echa de pago o el último día del trimestre al que se refiere el informe</w:t>
      </w:r>
      <w:r>
        <w:rPr>
          <w:rFonts w:ascii="Arial" w:hAnsi="Arial" w:cs="Arial"/>
        </w:rPr>
        <w:t>.</w:t>
      </w:r>
    </w:p>
    <w:p w14:paraId="316D53BA" w14:textId="77777777" w:rsidR="002555DC" w:rsidRDefault="002555DC">
      <w:pPr>
        <w:pStyle w:val="Prrafodelista"/>
        <w:tabs>
          <w:tab w:val="left" w:pos="851"/>
        </w:tabs>
        <w:autoSpaceDE w:val="0"/>
        <w:autoSpaceDN w:val="0"/>
        <w:adjustRightInd w:val="0"/>
        <w:spacing w:after="0" w:line="240" w:lineRule="auto"/>
        <w:ind w:left="851"/>
        <w:jc w:val="both"/>
        <w:rPr>
          <w:rFonts w:ascii="Arial" w:hAnsi="Arial" w:cs="Arial"/>
        </w:rPr>
      </w:pPr>
    </w:p>
    <w:p w14:paraId="4A31DCF6" w14:textId="3069A2FF" w:rsidR="002555DC" w:rsidRDefault="00463D95" w:rsidP="00D81948">
      <w:pPr>
        <w:pStyle w:val="Prrafodelista"/>
        <w:numPr>
          <w:ilvl w:val="0"/>
          <w:numId w:val="1"/>
        </w:numPr>
        <w:autoSpaceDE w:val="0"/>
        <w:autoSpaceDN w:val="0"/>
        <w:adjustRightInd w:val="0"/>
        <w:spacing w:after="0" w:line="240" w:lineRule="auto"/>
        <w:ind w:left="993" w:hanging="993"/>
        <w:jc w:val="both"/>
        <w:rPr>
          <w:rFonts w:ascii="Arial" w:hAnsi="Arial" w:cs="Arial"/>
        </w:rPr>
      </w:pPr>
      <w:r>
        <w:rPr>
          <w:rFonts w:ascii="Arial" w:hAnsi="Arial" w:cs="Arial"/>
        </w:rPr>
        <w:t>D</w:t>
      </w:r>
      <w:r>
        <w:rPr>
          <w:rFonts w:ascii="Arial" w:hAnsi="Arial" w:cs="Arial"/>
          <w:lang w:val="ca-ES"/>
        </w:rPr>
        <w:t>e acuerdo</w:t>
      </w:r>
      <w:r>
        <w:rPr>
          <w:rFonts w:ascii="Arial" w:hAnsi="Arial" w:cs="Arial"/>
        </w:rPr>
        <w:t xml:space="preserve"> </w:t>
      </w:r>
      <w:r>
        <w:rPr>
          <w:rFonts w:ascii="Arial" w:hAnsi="Arial"/>
        </w:rPr>
        <w:t>con la información obtenida de las bases de datos de los sistemas</w:t>
      </w:r>
      <w:r>
        <w:rPr>
          <w:rFonts w:ascii="Arial" w:hAnsi="Arial" w:cs="Arial"/>
        </w:rPr>
        <w:t xml:space="preserve"> </w:t>
      </w:r>
      <w:r>
        <w:rPr>
          <w:rFonts w:ascii="Arial" w:hAnsi="Arial"/>
        </w:rPr>
        <w:t>de información</w:t>
      </w:r>
      <w:r>
        <w:rPr>
          <w:rStyle w:val="Refdenotaalpie"/>
          <w:rFonts w:ascii="Arial" w:hAnsi="Arial" w:cs="Arial"/>
        </w:rPr>
        <w:footnoteReference w:id="1"/>
      </w:r>
      <w:r w:rsidR="00D81948">
        <w:rPr>
          <w:rFonts w:ascii="Arial" w:hAnsi="Arial"/>
        </w:rPr>
        <w:t>,</w:t>
      </w:r>
      <w:r>
        <w:rPr>
          <w:rFonts w:ascii="Arial" w:hAnsi="Arial" w:cs="Arial"/>
        </w:rPr>
        <w:t xml:space="preserve"> </w:t>
      </w:r>
      <w:r>
        <w:rPr>
          <w:rFonts w:ascii="Arial" w:hAnsi="Arial"/>
        </w:rPr>
        <w:t>se detalla la siguiente información correspondiente al</w:t>
      </w:r>
      <w:r>
        <w:rPr>
          <w:rFonts w:ascii="Arial" w:hAnsi="Arial" w:cs="Arial"/>
        </w:rPr>
        <w:t xml:space="preserve"> </w:t>
      </w:r>
      <w:sdt>
        <w:sdtPr>
          <w:rPr>
            <w:rFonts w:ascii="Arial" w:hAnsi="Arial" w:cs="Arial"/>
            <w:highlight w:val="lightGray"/>
          </w:rPr>
          <w:alias w:val="Trimestre"/>
          <w:tag w:val="Trimestre"/>
          <w:id w:val="-1731983001"/>
          <w:placeholder>
            <w:docPart w:val="DefaultPlaceholder_-1854013438"/>
          </w:placeholder>
          <w:dropDownList>
            <w:listItem w:displayText="ESCOGER UNA OPCIÓN." w:value="ESCOGER UNA OPCIÓN."/>
            <w:listItem w:displayText="primer" w:value="primer"/>
            <w:listItem w:displayText="segundo" w:value="segundo"/>
            <w:listItem w:displayText="tercer" w:value="tercer"/>
            <w:listItem w:displayText="cuarto" w:value="cuarto"/>
          </w:dropDownList>
        </w:sdtPr>
        <w:sdtEndPr/>
        <w:sdtContent>
          <w:r w:rsidR="00344E02">
            <w:rPr>
              <w:rFonts w:ascii="Arial" w:hAnsi="Arial" w:cs="Arial"/>
              <w:highlight w:val="lightGray"/>
            </w:rPr>
            <w:t>ESCOGER UNA OPCIÓN.</w:t>
          </w:r>
        </w:sdtContent>
      </w:sdt>
      <w:r>
        <w:rPr>
          <w:rFonts w:ascii="Arial" w:hAnsi="Arial" w:cs="Arial"/>
        </w:rPr>
        <w:t xml:space="preserve"> </w:t>
      </w:r>
      <w:r>
        <w:rPr>
          <w:rFonts w:ascii="Arial" w:hAnsi="Arial"/>
        </w:rPr>
        <w:t>trimestre del ejercicio</w:t>
      </w:r>
      <w:r>
        <w:rPr>
          <w:rFonts w:ascii="Arial" w:hAnsi="Arial" w:cs="Arial"/>
        </w:rPr>
        <w:t xml:space="preserve"> [</w:t>
      </w:r>
      <w:r>
        <w:rPr>
          <w:rFonts w:ascii="Arial" w:hAnsi="Arial" w:cs="Arial"/>
          <w:i/>
          <w:iCs/>
          <w:highlight w:val="lightGray"/>
        </w:rPr>
        <w:t>a</w:t>
      </w:r>
      <w:r>
        <w:rPr>
          <w:rFonts w:ascii="Arial" w:hAnsi="Arial" w:cs="Arial"/>
          <w:i/>
          <w:iCs/>
          <w:highlight w:val="lightGray"/>
          <w:lang w:val="ca-ES"/>
        </w:rPr>
        <w:t>ño</w:t>
      </w:r>
      <w:r>
        <w:rPr>
          <w:rFonts w:ascii="Arial" w:hAnsi="Arial" w:cs="Arial"/>
        </w:rPr>
        <w:t>]:</w:t>
      </w:r>
    </w:p>
    <w:p w14:paraId="75F6B3C3" w14:textId="77777777" w:rsidR="002555DC" w:rsidRDefault="002555DC">
      <w:pPr>
        <w:tabs>
          <w:tab w:val="left" w:pos="851"/>
        </w:tabs>
        <w:autoSpaceDE w:val="0"/>
        <w:autoSpaceDN w:val="0"/>
        <w:adjustRightInd w:val="0"/>
        <w:spacing w:after="0" w:line="240" w:lineRule="auto"/>
        <w:jc w:val="both"/>
        <w:rPr>
          <w:rFonts w:ascii="Arial" w:hAnsi="Arial" w:cs="Arial"/>
        </w:rPr>
      </w:pPr>
    </w:p>
    <w:p w14:paraId="145B3D59" w14:textId="77777777" w:rsidR="002555DC" w:rsidRDefault="00463D95">
      <w:pPr>
        <w:pStyle w:val="Prrafodelista"/>
        <w:numPr>
          <w:ilvl w:val="0"/>
          <w:numId w:val="3"/>
        </w:numPr>
        <w:autoSpaceDE w:val="0"/>
        <w:autoSpaceDN w:val="0"/>
        <w:adjustRightInd w:val="0"/>
        <w:spacing w:after="0" w:line="240" w:lineRule="auto"/>
        <w:ind w:left="284" w:hanging="284"/>
        <w:jc w:val="both"/>
        <w:rPr>
          <w:rFonts w:ascii="Arial" w:hAnsi="Arial" w:cs="Arial"/>
          <w:b/>
        </w:rPr>
      </w:pPr>
      <w:r>
        <w:rPr>
          <w:rFonts w:ascii="Arial" w:hAnsi="Arial"/>
          <w:b/>
        </w:rPr>
        <w:t>Pagos realizados en el trimestre</w:t>
      </w:r>
      <w:r>
        <w:rPr>
          <w:rFonts w:ascii="Arial" w:hAnsi="Arial" w:cs="Arial"/>
          <w:b/>
        </w:rPr>
        <w:t>:</w:t>
      </w:r>
    </w:p>
    <w:p w14:paraId="0B4D3C67" w14:textId="77777777" w:rsidR="002555DC" w:rsidRDefault="002555DC">
      <w:pPr>
        <w:autoSpaceDE w:val="0"/>
        <w:autoSpaceDN w:val="0"/>
        <w:adjustRightInd w:val="0"/>
        <w:spacing w:after="0" w:line="240" w:lineRule="auto"/>
        <w:jc w:val="both"/>
        <w:rPr>
          <w:rFonts w:ascii="Arial" w:hAnsi="Arial" w:cs="Arial"/>
        </w:rPr>
      </w:pPr>
    </w:p>
    <w:p w14:paraId="2D12F052" w14:textId="1BF198D5" w:rsidR="002555DC" w:rsidRDefault="00463D95">
      <w:pPr>
        <w:autoSpaceDE w:val="0"/>
        <w:autoSpaceDN w:val="0"/>
        <w:adjustRightInd w:val="0"/>
        <w:spacing w:after="0" w:line="240" w:lineRule="auto"/>
        <w:ind w:left="142"/>
        <w:jc w:val="both"/>
        <w:rPr>
          <w:rFonts w:ascii="Arial" w:hAnsi="Arial" w:cs="Arial"/>
          <w:color w:val="7F7F7F" w:themeColor="text1" w:themeTint="80"/>
          <w:sz w:val="18"/>
          <w:szCs w:val="18"/>
        </w:rPr>
      </w:pPr>
      <w:r>
        <w:rPr>
          <w:rFonts w:ascii="Arial" w:hAnsi="Arial" w:cs="Arial"/>
          <w:color w:val="7F7F7F" w:themeColor="text1" w:themeTint="80"/>
          <w:sz w:val="18"/>
          <w:szCs w:val="18"/>
        </w:rPr>
        <w:t>[</w:t>
      </w:r>
      <w:r w:rsidR="00D81948">
        <w:rPr>
          <w:rFonts w:ascii="Arial" w:hAnsi="Arial" w:cs="Arial"/>
          <w:i/>
          <w:iCs/>
          <w:color w:val="7F7F7F" w:themeColor="text1" w:themeTint="80"/>
          <w:sz w:val="18"/>
          <w:szCs w:val="18"/>
        </w:rPr>
        <w:t>Ejemplo</w:t>
      </w:r>
      <w:r>
        <w:rPr>
          <w:rFonts w:ascii="Arial" w:hAnsi="Arial" w:cs="Arial"/>
          <w:i/>
          <w:iCs/>
          <w:color w:val="7F7F7F" w:themeColor="text1" w:themeTint="80"/>
          <w:sz w:val="18"/>
          <w:szCs w:val="18"/>
        </w:rPr>
        <w:t xml:space="preserve"> informació</w:t>
      </w:r>
      <w:r w:rsidR="00D81948">
        <w:rPr>
          <w:rFonts w:ascii="Arial" w:hAnsi="Arial" w:cs="Arial"/>
          <w:i/>
          <w:iCs/>
          <w:color w:val="7F7F7F" w:themeColor="text1" w:themeTint="80"/>
          <w:sz w:val="18"/>
          <w:szCs w:val="18"/>
        </w:rPr>
        <w:t>n</w:t>
      </w:r>
      <w:r>
        <w:rPr>
          <w:rFonts w:ascii="Arial" w:hAnsi="Arial" w:cs="Arial"/>
          <w:i/>
          <w:iCs/>
          <w:color w:val="7F7F7F" w:themeColor="text1" w:themeTint="80"/>
          <w:sz w:val="18"/>
          <w:szCs w:val="18"/>
        </w:rPr>
        <w:t xml:space="preserve"> </w:t>
      </w:r>
      <w:r w:rsidR="00D81948">
        <w:rPr>
          <w:rFonts w:ascii="Arial" w:hAnsi="Arial" w:cs="Arial"/>
          <w:i/>
          <w:iCs/>
          <w:color w:val="7F7F7F" w:themeColor="text1" w:themeTint="80"/>
          <w:sz w:val="18"/>
          <w:szCs w:val="18"/>
        </w:rPr>
        <w:t>de</w:t>
      </w:r>
      <w:r>
        <w:rPr>
          <w:rFonts w:ascii="Arial" w:hAnsi="Arial" w:cs="Arial"/>
          <w:i/>
          <w:iCs/>
          <w:color w:val="7F7F7F" w:themeColor="text1" w:themeTint="80"/>
          <w:sz w:val="18"/>
          <w:szCs w:val="18"/>
        </w:rPr>
        <w:t xml:space="preserve"> Sicalwin</w:t>
      </w:r>
      <w:r>
        <w:rPr>
          <w:rFonts w:ascii="Arial" w:hAnsi="Arial" w:cs="Arial"/>
          <w:color w:val="7F7F7F" w:themeColor="text1" w:themeTint="80"/>
          <w:sz w:val="18"/>
          <w:szCs w:val="18"/>
        </w:rPr>
        <w:t>]</w:t>
      </w:r>
    </w:p>
    <w:p w14:paraId="4A9A3668" w14:textId="77777777" w:rsidR="002555DC" w:rsidRDefault="00463D95">
      <w:pPr>
        <w:autoSpaceDE w:val="0"/>
        <w:autoSpaceDN w:val="0"/>
        <w:adjustRightInd w:val="0"/>
        <w:spacing w:after="0" w:line="240" w:lineRule="auto"/>
        <w:jc w:val="both"/>
        <w:rPr>
          <w:rFonts w:ascii="Arial" w:hAnsi="Arial" w:cs="Arial"/>
        </w:rPr>
      </w:pPr>
      <w:r>
        <w:rPr>
          <w:rFonts w:ascii="Arial" w:hAnsi="Arial" w:cs="Arial"/>
          <w:noProof/>
          <w:lang w:eastAsia="ca-ES"/>
        </w:rPr>
        <w:drawing>
          <wp:inline distT="0" distB="0" distL="0" distR="0" wp14:anchorId="6CB1B435" wp14:editId="785B427F">
            <wp:extent cx="5394960" cy="2232660"/>
            <wp:effectExtent l="0" t="0" r="15240" b="152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94960" cy="2232660"/>
                    </a:xfrm>
                    <a:prstGeom prst="rect">
                      <a:avLst/>
                    </a:prstGeom>
                    <a:noFill/>
                    <a:ln>
                      <a:noFill/>
                    </a:ln>
                  </pic:spPr>
                </pic:pic>
              </a:graphicData>
            </a:graphic>
          </wp:inline>
        </w:drawing>
      </w:r>
    </w:p>
    <w:p w14:paraId="19260B9A" w14:textId="77777777" w:rsidR="002555DC" w:rsidRDefault="002555DC">
      <w:pPr>
        <w:autoSpaceDE w:val="0"/>
        <w:autoSpaceDN w:val="0"/>
        <w:adjustRightInd w:val="0"/>
        <w:spacing w:after="0" w:line="240" w:lineRule="auto"/>
        <w:jc w:val="both"/>
        <w:rPr>
          <w:rFonts w:ascii="Arial" w:hAnsi="Arial" w:cs="Arial"/>
          <w:sz w:val="18"/>
          <w:szCs w:val="18"/>
        </w:rPr>
      </w:pPr>
    </w:p>
    <w:p w14:paraId="6397C1EC" w14:textId="77777777" w:rsidR="002555DC" w:rsidRDefault="00463D95">
      <w:pPr>
        <w:pStyle w:val="Prrafodelista"/>
        <w:numPr>
          <w:ilvl w:val="0"/>
          <w:numId w:val="3"/>
        </w:numPr>
        <w:autoSpaceDE w:val="0"/>
        <w:autoSpaceDN w:val="0"/>
        <w:adjustRightInd w:val="0"/>
        <w:spacing w:after="0" w:line="240" w:lineRule="auto"/>
        <w:ind w:left="284" w:hanging="284"/>
        <w:jc w:val="both"/>
        <w:rPr>
          <w:rFonts w:ascii="Arial" w:hAnsi="Arial" w:cs="Arial"/>
          <w:b/>
        </w:rPr>
      </w:pPr>
      <w:r>
        <w:rPr>
          <w:rFonts w:ascii="Arial" w:hAnsi="Arial"/>
          <w:b/>
        </w:rPr>
        <w:t>Intereses de demora pagados en el trimestre</w:t>
      </w:r>
      <w:r>
        <w:rPr>
          <w:rFonts w:ascii="Arial" w:hAnsi="Arial" w:cs="Arial"/>
          <w:b/>
        </w:rPr>
        <w:t>:</w:t>
      </w:r>
    </w:p>
    <w:p w14:paraId="4FF776AA" w14:textId="77777777" w:rsidR="002555DC" w:rsidRDefault="002555DC">
      <w:pPr>
        <w:autoSpaceDE w:val="0"/>
        <w:autoSpaceDN w:val="0"/>
        <w:adjustRightInd w:val="0"/>
        <w:spacing w:after="0" w:line="240" w:lineRule="auto"/>
        <w:jc w:val="both"/>
        <w:rPr>
          <w:rFonts w:ascii="Arial" w:hAnsi="Arial" w:cs="Arial"/>
        </w:rPr>
      </w:pPr>
    </w:p>
    <w:p w14:paraId="67289544" w14:textId="77777777" w:rsidR="00D81948" w:rsidRDefault="00D81948" w:rsidP="00D81948">
      <w:pPr>
        <w:autoSpaceDE w:val="0"/>
        <w:autoSpaceDN w:val="0"/>
        <w:adjustRightInd w:val="0"/>
        <w:spacing w:after="0" w:line="240" w:lineRule="auto"/>
        <w:ind w:left="142"/>
        <w:jc w:val="both"/>
        <w:rPr>
          <w:rFonts w:ascii="Arial" w:hAnsi="Arial" w:cs="Arial"/>
          <w:color w:val="7F7F7F" w:themeColor="text1" w:themeTint="80"/>
          <w:sz w:val="18"/>
          <w:szCs w:val="18"/>
        </w:rPr>
      </w:pPr>
      <w:r>
        <w:rPr>
          <w:rFonts w:ascii="Arial" w:hAnsi="Arial" w:cs="Arial"/>
          <w:color w:val="7F7F7F" w:themeColor="text1" w:themeTint="80"/>
          <w:sz w:val="18"/>
          <w:szCs w:val="18"/>
        </w:rPr>
        <w:t>[</w:t>
      </w:r>
      <w:r>
        <w:rPr>
          <w:rFonts w:ascii="Arial" w:hAnsi="Arial" w:cs="Arial"/>
          <w:i/>
          <w:iCs/>
          <w:color w:val="7F7F7F" w:themeColor="text1" w:themeTint="80"/>
          <w:sz w:val="18"/>
          <w:szCs w:val="18"/>
        </w:rPr>
        <w:t>Ejemplo información de Sicalwin</w:t>
      </w:r>
      <w:r>
        <w:rPr>
          <w:rFonts w:ascii="Arial" w:hAnsi="Arial" w:cs="Arial"/>
          <w:color w:val="7F7F7F" w:themeColor="text1" w:themeTint="80"/>
          <w:sz w:val="18"/>
          <w:szCs w:val="18"/>
        </w:rPr>
        <w:t>]</w:t>
      </w:r>
    </w:p>
    <w:p w14:paraId="3049AF8B" w14:textId="77777777" w:rsidR="002555DC" w:rsidRDefault="00463D95">
      <w:pPr>
        <w:autoSpaceDE w:val="0"/>
        <w:autoSpaceDN w:val="0"/>
        <w:adjustRightInd w:val="0"/>
        <w:spacing w:after="0" w:line="240" w:lineRule="auto"/>
        <w:jc w:val="both"/>
        <w:rPr>
          <w:rFonts w:ascii="Arial" w:hAnsi="Arial" w:cs="Arial"/>
        </w:rPr>
      </w:pPr>
      <w:r>
        <w:rPr>
          <w:rFonts w:ascii="Arial" w:hAnsi="Arial" w:cs="Arial"/>
          <w:noProof/>
          <w:lang w:eastAsia="ca-ES"/>
        </w:rPr>
        <w:drawing>
          <wp:inline distT="0" distB="0" distL="0" distR="0" wp14:anchorId="6012FC0B" wp14:editId="535C2037">
            <wp:extent cx="5261610" cy="20040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0">
                      <a:extLst>
                        <a:ext uri="{28A0092B-C50C-407E-A947-70E740481C1C}">
                          <a14:useLocalDpi xmlns:a14="http://schemas.microsoft.com/office/drawing/2010/main" val="0"/>
                        </a:ext>
                      </a:extLst>
                    </a:blip>
                    <a:srcRect l="2471"/>
                    <a:stretch>
                      <a:fillRect/>
                    </a:stretch>
                  </pic:blipFill>
                  <pic:spPr>
                    <a:xfrm>
                      <a:off x="0" y="0"/>
                      <a:ext cx="5261610" cy="2004060"/>
                    </a:xfrm>
                    <a:prstGeom prst="rect">
                      <a:avLst/>
                    </a:prstGeom>
                    <a:noFill/>
                    <a:ln>
                      <a:noFill/>
                    </a:ln>
                  </pic:spPr>
                </pic:pic>
              </a:graphicData>
            </a:graphic>
          </wp:inline>
        </w:drawing>
      </w:r>
    </w:p>
    <w:p w14:paraId="15E046BC" w14:textId="77777777" w:rsidR="002555DC" w:rsidRDefault="002555DC">
      <w:pPr>
        <w:autoSpaceDE w:val="0"/>
        <w:autoSpaceDN w:val="0"/>
        <w:adjustRightInd w:val="0"/>
        <w:spacing w:after="0" w:line="240" w:lineRule="auto"/>
        <w:jc w:val="both"/>
        <w:rPr>
          <w:rFonts w:ascii="Arial" w:hAnsi="Arial" w:cs="Arial"/>
          <w:sz w:val="18"/>
          <w:szCs w:val="18"/>
        </w:rPr>
      </w:pPr>
    </w:p>
    <w:p w14:paraId="5806489A" w14:textId="1428E668" w:rsidR="002555DC" w:rsidRDefault="00463D95">
      <w:pPr>
        <w:pStyle w:val="Prrafodelista"/>
        <w:numPr>
          <w:ilvl w:val="0"/>
          <w:numId w:val="3"/>
        </w:numPr>
        <w:autoSpaceDE w:val="0"/>
        <w:autoSpaceDN w:val="0"/>
        <w:adjustRightInd w:val="0"/>
        <w:spacing w:after="0" w:line="240" w:lineRule="auto"/>
        <w:ind w:left="284" w:hanging="284"/>
        <w:jc w:val="both"/>
        <w:rPr>
          <w:rFonts w:ascii="Arial" w:hAnsi="Arial" w:cs="Arial"/>
          <w:b/>
        </w:rPr>
      </w:pPr>
      <w:r>
        <w:rPr>
          <w:rFonts w:ascii="Arial" w:hAnsi="Arial"/>
          <w:b/>
        </w:rPr>
        <w:lastRenderedPageBreak/>
        <w:t xml:space="preserve">Facturas o documentos justificativos pendientes de pago al </w:t>
      </w:r>
      <w:r>
        <w:rPr>
          <w:rFonts w:ascii="Arial" w:hAnsi="Arial"/>
          <w:b/>
        </w:rPr>
        <w:t>final del trimestre, con indicación del número y cuantía global de las obligac</w:t>
      </w:r>
      <w:r w:rsidR="00344E02">
        <w:rPr>
          <w:rFonts w:ascii="Arial" w:hAnsi="Arial"/>
          <w:b/>
        </w:rPr>
        <w:t>iones</w:t>
      </w:r>
      <w:r>
        <w:rPr>
          <w:rFonts w:ascii="Arial" w:hAnsi="Arial" w:cs="Arial"/>
          <w:b/>
        </w:rPr>
        <w:t xml:space="preserve"> </w:t>
      </w:r>
      <w:r>
        <w:rPr>
          <w:rFonts w:ascii="Arial" w:hAnsi="Arial"/>
          <w:b/>
        </w:rPr>
        <w:t>pendientes en</w:t>
      </w:r>
      <w:r>
        <w:rPr>
          <w:rFonts w:ascii="Arial" w:hAnsi="Arial"/>
          <w:b/>
          <w:lang w:val="ca-ES"/>
        </w:rPr>
        <w:t xml:space="preserve"> </w:t>
      </w:r>
      <w:r>
        <w:rPr>
          <w:rFonts w:ascii="Arial" w:hAnsi="Arial"/>
          <w:b/>
        </w:rPr>
        <w:t>las que se están incumpliendo los plazos de pago previstos en la Ley 15/2010, de 5 de julio, y periodo medio de pago en días</w:t>
      </w:r>
      <w:r>
        <w:rPr>
          <w:rFonts w:ascii="Arial" w:hAnsi="Arial" w:cs="Arial"/>
          <w:b/>
        </w:rPr>
        <w:t>:</w:t>
      </w:r>
    </w:p>
    <w:p w14:paraId="041C1F87" w14:textId="77777777" w:rsidR="002555DC" w:rsidRDefault="002555DC">
      <w:pPr>
        <w:autoSpaceDE w:val="0"/>
        <w:autoSpaceDN w:val="0"/>
        <w:adjustRightInd w:val="0"/>
        <w:spacing w:after="0" w:line="240" w:lineRule="auto"/>
        <w:jc w:val="both"/>
        <w:rPr>
          <w:rFonts w:ascii="Arial" w:hAnsi="Arial" w:cs="Arial"/>
          <w:b/>
        </w:rPr>
      </w:pPr>
    </w:p>
    <w:p w14:paraId="45F240E1" w14:textId="77777777" w:rsidR="002555DC" w:rsidRDefault="002555DC">
      <w:pPr>
        <w:autoSpaceDE w:val="0"/>
        <w:autoSpaceDN w:val="0"/>
        <w:adjustRightInd w:val="0"/>
        <w:spacing w:after="0" w:line="240" w:lineRule="auto"/>
        <w:jc w:val="both"/>
        <w:rPr>
          <w:rFonts w:ascii="Arial" w:hAnsi="Arial" w:cs="Arial"/>
          <w:b/>
        </w:rPr>
      </w:pPr>
    </w:p>
    <w:p w14:paraId="1AF34E63" w14:textId="77777777" w:rsidR="00D81948" w:rsidRDefault="00D81948" w:rsidP="00D81948">
      <w:pPr>
        <w:autoSpaceDE w:val="0"/>
        <w:autoSpaceDN w:val="0"/>
        <w:adjustRightInd w:val="0"/>
        <w:spacing w:after="0" w:line="240" w:lineRule="auto"/>
        <w:ind w:left="142"/>
        <w:jc w:val="both"/>
        <w:rPr>
          <w:rFonts w:ascii="Arial" w:hAnsi="Arial" w:cs="Arial"/>
          <w:color w:val="7F7F7F" w:themeColor="text1" w:themeTint="80"/>
          <w:sz w:val="18"/>
          <w:szCs w:val="18"/>
        </w:rPr>
      </w:pPr>
      <w:r>
        <w:rPr>
          <w:rFonts w:ascii="Arial" w:hAnsi="Arial" w:cs="Arial"/>
          <w:color w:val="7F7F7F" w:themeColor="text1" w:themeTint="80"/>
          <w:sz w:val="18"/>
          <w:szCs w:val="18"/>
        </w:rPr>
        <w:t>[</w:t>
      </w:r>
      <w:r>
        <w:rPr>
          <w:rFonts w:ascii="Arial" w:hAnsi="Arial" w:cs="Arial"/>
          <w:i/>
          <w:iCs/>
          <w:color w:val="7F7F7F" w:themeColor="text1" w:themeTint="80"/>
          <w:sz w:val="18"/>
          <w:szCs w:val="18"/>
        </w:rPr>
        <w:t>Ejemplo información de Sicalwin</w:t>
      </w:r>
      <w:r>
        <w:rPr>
          <w:rFonts w:ascii="Arial" w:hAnsi="Arial" w:cs="Arial"/>
          <w:color w:val="7F7F7F" w:themeColor="text1" w:themeTint="80"/>
          <w:sz w:val="18"/>
          <w:szCs w:val="18"/>
        </w:rPr>
        <w:t>]</w:t>
      </w:r>
    </w:p>
    <w:p w14:paraId="692A6AE2" w14:textId="77777777" w:rsidR="002555DC" w:rsidRDefault="00463D95">
      <w:pPr>
        <w:autoSpaceDE w:val="0"/>
        <w:autoSpaceDN w:val="0"/>
        <w:adjustRightInd w:val="0"/>
        <w:spacing w:after="0" w:line="240" w:lineRule="auto"/>
        <w:jc w:val="center"/>
        <w:rPr>
          <w:rFonts w:ascii="Arial" w:hAnsi="Arial" w:cs="Arial"/>
        </w:rPr>
      </w:pPr>
      <w:r>
        <w:rPr>
          <w:rFonts w:ascii="Arial" w:hAnsi="Arial" w:cs="Arial"/>
          <w:noProof/>
          <w:lang w:eastAsia="ca-ES"/>
        </w:rPr>
        <w:drawing>
          <wp:inline distT="0" distB="0" distL="0" distR="0" wp14:anchorId="104CBF3E" wp14:editId="6B515828">
            <wp:extent cx="5394960" cy="26441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394960" cy="2644140"/>
                    </a:xfrm>
                    <a:prstGeom prst="rect">
                      <a:avLst/>
                    </a:prstGeom>
                    <a:noFill/>
                    <a:ln>
                      <a:noFill/>
                    </a:ln>
                  </pic:spPr>
                </pic:pic>
              </a:graphicData>
            </a:graphic>
          </wp:inline>
        </w:drawing>
      </w:r>
    </w:p>
    <w:p w14:paraId="1B5354EB" w14:textId="77777777" w:rsidR="002555DC" w:rsidRDefault="002555DC">
      <w:pPr>
        <w:jc w:val="both"/>
        <w:rPr>
          <w:rFonts w:ascii="Arial" w:hAnsi="Arial" w:cs="Arial"/>
        </w:rPr>
      </w:pPr>
    </w:p>
    <w:p w14:paraId="66ED75AA" w14:textId="77777777" w:rsidR="002555DC" w:rsidRDefault="002555DC">
      <w:pPr>
        <w:jc w:val="both"/>
        <w:rPr>
          <w:rFonts w:ascii="Arial" w:hAnsi="Arial" w:cs="Arial"/>
        </w:rPr>
      </w:pPr>
    </w:p>
    <w:p w14:paraId="3EC7E0BC" w14:textId="77777777" w:rsidR="002555DC" w:rsidRDefault="002555DC">
      <w:pPr>
        <w:jc w:val="both"/>
        <w:rPr>
          <w:rFonts w:ascii="Arial" w:hAnsi="Arial" w:cs="Arial"/>
        </w:rPr>
      </w:pPr>
    </w:p>
    <w:p w14:paraId="15056E4E" w14:textId="77777777" w:rsidR="002555DC" w:rsidRDefault="002555DC">
      <w:pPr>
        <w:jc w:val="both"/>
        <w:rPr>
          <w:rFonts w:ascii="Arial" w:hAnsi="Arial" w:cs="Arial"/>
        </w:rPr>
      </w:pPr>
    </w:p>
    <w:p w14:paraId="0C65704B" w14:textId="77777777" w:rsidR="002555DC" w:rsidRDefault="002555DC">
      <w:pPr>
        <w:jc w:val="both"/>
        <w:rPr>
          <w:rFonts w:ascii="Arial" w:hAnsi="Arial" w:cs="Arial"/>
        </w:rPr>
      </w:pPr>
    </w:p>
    <w:p w14:paraId="2A91AB70" w14:textId="77777777" w:rsidR="002555DC" w:rsidRDefault="002555DC">
      <w:pPr>
        <w:jc w:val="both"/>
        <w:rPr>
          <w:rFonts w:ascii="Arial" w:hAnsi="Arial" w:cs="Arial"/>
        </w:rPr>
      </w:pPr>
    </w:p>
    <w:p w14:paraId="316AB863" w14:textId="77777777" w:rsidR="002555DC" w:rsidRDefault="002555DC">
      <w:pPr>
        <w:jc w:val="both"/>
        <w:rPr>
          <w:rFonts w:ascii="Arial" w:hAnsi="Arial" w:cs="Arial"/>
        </w:rPr>
      </w:pPr>
    </w:p>
    <w:p w14:paraId="6630797E" w14:textId="77777777" w:rsidR="002555DC" w:rsidRDefault="002555DC">
      <w:pPr>
        <w:jc w:val="both"/>
        <w:rPr>
          <w:rFonts w:ascii="Arial" w:hAnsi="Arial" w:cs="Arial"/>
        </w:rPr>
      </w:pPr>
    </w:p>
    <w:sectPr w:rsidR="002555DC">
      <w:headerReference w:type="default" r:id="rId12"/>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764E" w14:textId="77777777" w:rsidR="00463D95" w:rsidRDefault="00463D95">
      <w:pPr>
        <w:spacing w:line="240" w:lineRule="auto"/>
      </w:pPr>
      <w:r>
        <w:separator/>
      </w:r>
    </w:p>
  </w:endnote>
  <w:endnote w:type="continuationSeparator" w:id="0">
    <w:p w14:paraId="1B657827" w14:textId="77777777" w:rsidR="00463D95" w:rsidRDefault="00463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FAFF6" w14:textId="77777777" w:rsidR="00463D95" w:rsidRDefault="00463D95">
      <w:pPr>
        <w:spacing w:after="0" w:line="240" w:lineRule="auto"/>
      </w:pPr>
      <w:r>
        <w:separator/>
      </w:r>
    </w:p>
  </w:footnote>
  <w:footnote w:type="continuationSeparator" w:id="0">
    <w:p w14:paraId="760BE52E" w14:textId="77777777" w:rsidR="00463D95" w:rsidRDefault="00463D95">
      <w:pPr>
        <w:spacing w:after="0" w:line="240" w:lineRule="auto"/>
      </w:pPr>
      <w:r>
        <w:continuationSeparator/>
      </w:r>
    </w:p>
  </w:footnote>
  <w:footnote w:id="1">
    <w:p w14:paraId="70BB50CC" w14:textId="49D800A7" w:rsidR="002555DC" w:rsidRDefault="00463D95" w:rsidP="00D81948">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sidR="00D81948">
        <w:rPr>
          <w:rFonts w:ascii="Arial" w:hAnsi="Arial" w:cs="Arial"/>
          <w:i/>
          <w:iCs/>
          <w:sz w:val="18"/>
          <w:szCs w:val="18"/>
        </w:rPr>
        <w:t>Ejemplo en el programa de contabilidad SICALWIN</w:t>
      </w:r>
      <w:r>
        <w:rPr>
          <w:rFonts w:ascii="Arial" w:hAnsi="Arial" w:cs="Arial"/>
          <w:sz w:val="18"/>
          <w:szCs w:val="18"/>
        </w:rPr>
        <w:t>:</w:t>
      </w:r>
      <w:r>
        <w:rPr>
          <w:rFonts w:ascii="Arial" w:hAnsi="Arial" w:cs="Arial"/>
          <w:sz w:val="18"/>
          <w:szCs w:val="18"/>
          <w:lang w:val="ca-ES"/>
        </w:rPr>
        <w:t xml:space="preserve"> </w:t>
      </w:r>
      <w:r>
        <w:rPr>
          <w:rFonts w:ascii="Arial" w:hAnsi="Arial"/>
          <w:sz w:val="18"/>
          <w:szCs w:val="18"/>
        </w:rPr>
        <w:t xml:space="preserve">Presupuesto de </w:t>
      </w:r>
      <w:r>
        <w:rPr>
          <w:rFonts w:ascii="Arial" w:eastAsia="SimSun" w:hAnsi="Arial" w:cs="Arial"/>
          <w:sz w:val="18"/>
          <w:szCs w:val="18"/>
          <w:lang w:val="ca-ES"/>
        </w:rPr>
        <w:t>gastos</w:t>
      </w:r>
      <w:r>
        <w:rPr>
          <w:rFonts w:ascii="Arial" w:hAnsi="Arial"/>
          <w:sz w:val="18"/>
          <w:szCs w:val="18"/>
        </w:rPr>
        <w:t>_Justificant</w:t>
      </w:r>
      <w:r>
        <w:rPr>
          <w:rFonts w:ascii="Arial" w:hAnsi="Arial"/>
          <w:sz w:val="18"/>
          <w:szCs w:val="18"/>
          <w:lang w:val="ca-ES"/>
        </w:rPr>
        <w:t>es</w:t>
      </w:r>
      <w:r>
        <w:rPr>
          <w:rFonts w:ascii="Arial" w:hAnsi="Arial"/>
          <w:sz w:val="18"/>
          <w:szCs w:val="18"/>
        </w:rPr>
        <w:t xml:space="preserve"> de </w:t>
      </w:r>
      <w:r w:rsidR="00D81948">
        <w:rPr>
          <w:rFonts w:ascii="Arial" w:hAnsi="Arial"/>
          <w:sz w:val="18"/>
          <w:szCs w:val="18"/>
        </w:rPr>
        <w:t>gasto</w:t>
      </w:r>
      <w:r>
        <w:rPr>
          <w:rFonts w:ascii="Arial" w:hAnsi="Arial"/>
          <w:sz w:val="18"/>
          <w:szCs w:val="18"/>
        </w:rPr>
        <w:t>_Informes trimestrales ley de morosidad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28D1" w14:textId="7A051C84" w:rsidR="002555DC" w:rsidRDefault="00463D95">
    <w:pPr>
      <w:pStyle w:val="Encabezado"/>
      <w:jc w:val="right"/>
      <w:rPr>
        <w:rFonts w:ascii="Arial" w:hAnsi="Arial" w:cs="Arial"/>
        <w:i/>
        <w:iCs/>
        <w:sz w:val="20"/>
        <w:szCs w:val="20"/>
      </w:rPr>
    </w:pPr>
    <w:r>
      <w:rPr>
        <w:rFonts w:ascii="Arial" w:hAnsi="Arial" w:cs="Arial"/>
        <w:i/>
        <w:iCs/>
        <w:sz w:val="20"/>
        <w:szCs w:val="20"/>
      </w:rPr>
      <w:t>Model</w:t>
    </w:r>
    <w:r w:rsidR="00D81948">
      <w:rPr>
        <w:rFonts w:ascii="Arial" w:hAnsi="Arial" w:cs="Arial"/>
        <w:i/>
        <w:iCs/>
        <w:sz w:val="20"/>
        <w:szCs w:val="20"/>
      </w:rPr>
      <w:t>o</w:t>
    </w:r>
    <w:r>
      <w:rPr>
        <w:rFonts w:ascii="Arial" w:hAnsi="Arial" w:cs="Arial"/>
        <w:i/>
        <w:iCs/>
        <w:sz w:val="20"/>
        <w:szCs w:val="20"/>
      </w:rPr>
      <w:t xml:space="preserve"> Informe trimestral morosi</w:t>
    </w:r>
    <w:r w:rsidR="00D81948">
      <w:rPr>
        <w:rFonts w:ascii="Arial" w:hAnsi="Arial" w:cs="Arial"/>
        <w:i/>
        <w:iCs/>
        <w:sz w:val="20"/>
        <w:szCs w:val="20"/>
      </w:rPr>
      <w:t>dad</w:t>
    </w:r>
    <w:r>
      <w:rPr>
        <w:rFonts w:ascii="Arial" w:hAnsi="Arial" w:cs="Arial"/>
        <w:i/>
        <w:iCs/>
        <w:sz w:val="20"/>
        <w:szCs w:val="20"/>
      </w:rPr>
      <w:t xml:space="preserve"> (art</w:t>
    </w:r>
    <w:r w:rsidR="00D81948">
      <w:rPr>
        <w:rFonts w:ascii="Arial" w:hAnsi="Arial" w:cs="Arial"/>
        <w:i/>
        <w:iCs/>
        <w:sz w:val="20"/>
        <w:szCs w:val="20"/>
      </w:rPr>
      <w:t>.</w:t>
    </w:r>
    <w:r>
      <w:rPr>
        <w:rFonts w:ascii="Arial" w:hAnsi="Arial" w:cs="Arial"/>
        <w:i/>
        <w:iCs/>
        <w:sz w:val="20"/>
        <w:szCs w:val="20"/>
      </w:rPr>
      <w:t xml:space="preserve"> 4.3L 15/2010)_v20210329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22619"/>
    <w:multiLevelType w:val="multilevel"/>
    <w:tmpl w:val="38C2261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380BA6"/>
    <w:multiLevelType w:val="multilevel"/>
    <w:tmpl w:val="55380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A661D"/>
    <w:multiLevelType w:val="multilevel"/>
    <w:tmpl w:val="66AA661D"/>
    <w:lvl w:ilvl="0">
      <w:start w:val="1"/>
      <w:numFmt w:val="ordinalText"/>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93"/>
    <w:rsid w:val="00050FD2"/>
    <w:rsid w:val="000F72E1"/>
    <w:rsid w:val="00226BEE"/>
    <w:rsid w:val="00247AC0"/>
    <w:rsid w:val="002555DC"/>
    <w:rsid w:val="00344E02"/>
    <w:rsid w:val="003D5FD8"/>
    <w:rsid w:val="003F0493"/>
    <w:rsid w:val="00463D95"/>
    <w:rsid w:val="00571818"/>
    <w:rsid w:val="007548C1"/>
    <w:rsid w:val="00810BE7"/>
    <w:rsid w:val="00BA14D7"/>
    <w:rsid w:val="00C10FFB"/>
    <w:rsid w:val="00C21897"/>
    <w:rsid w:val="00CD7A00"/>
    <w:rsid w:val="00D81948"/>
    <w:rsid w:val="00DB5622"/>
    <w:rsid w:val="00DE7F48"/>
    <w:rsid w:val="00FE2B92"/>
    <w:rsid w:val="084F1EB4"/>
    <w:rsid w:val="0F2970D6"/>
    <w:rsid w:val="17030A8B"/>
    <w:rsid w:val="17700B9A"/>
    <w:rsid w:val="197A17C8"/>
    <w:rsid w:val="216D632C"/>
    <w:rsid w:val="49A0064E"/>
    <w:rsid w:val="4A534EDE"/>
    <w:rsid w:val="4DD624A6"/>
    <w:rsid w:val="570E68D0"/>
    <w:rsid w:val="5CC514FC"/>
    <w:rsid w:val="5FA35DBB"/>
    <w:rsid w:val="62BB32D9"/>
    <w:rsid w:val="6A1C3370"/>
    <w:rsid w:val="6F6759AF"/>
    <w:rsid w:val="71405E18"/>
    <w:rsid w:val="71F3290D"/>
    <w:rsid w:val="76A16372"/>
    <w:rsid w:val="76CF1FC4"/>
    <w:rsid w:val="7D1B3D04"/>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7F87"/>
  <w15:docId w15:val="{2CEAF04D-633F-49B8-B48E-E68CA2A5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paragraph" w:styleId="Prrafodelista">
    <w:name w:val="List Paragraph"/>
    <w:basedOn w:val="Normal"/>
    <w:uiPriority w:val="34"/>
    <w:qFormat/>
    <w:pPr>
      <w:ind w:left="720"/>
      <w:contextualSpacing/>
    </w:pPr>
  </w:style>
  <w:style w:type="character" w:customStyle="1" w:styleId="TextonotapieCar">
    <w:name w:val="Texto nota pie Car"/>
    <w:basedOn w:val="Fuentedeprrafopredeter"/>
    <w:link w:val="Textonotapie"/>
    <w:uiPriority w:val="99"/>
    <w:semiHidden/>
    <w:rPr>
      <w:sz w:val="20"/>
      <w:szCs w:val="20"/>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166A439-9FF7-4348-B072-130EC89FE8CE}"/>
      </w:docPartPr>
      <w:docPartBody>
        <w:p w:rsidR="00E523D4" w:rsidRDefault="005303CD">
          <w:r>
            <w:rPr>
              <w:rStyle w:val="Textodelmarcadordeposicin"/>
            </w:rPr>
            <w:t>Elija un elemento.</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03CD" w:rsidRDefault="005303CD">
      <w:pPr>
        <w:spacing w:line="240" w:lineRule="auto"/>
      </w:pPr>
      <w:r>
        <w:separator/>
      </w:r>
    </w:p>
  </w:endnote>
  <w:endnote w:type="continuationSeparator" w:id="0">
    <w:p w:rsidR="005303CD" w:rsidRDefault="005303C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03CD" w:rsidRDefault="005303CD">
      <w:pPr>
        <w:spacing w:after="0" w:line="240" w:lineRule="auto"/>
      </w:pPr>
      <w:r>
        <w:separator/>
      </w:r>
    </w:p>
  </w:footnote>
  <w:footnote w:type="continuationSeparator" w:id="0">
    <w:p w:rsidR="005303CD" w:rsidRDefault="005303C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DE"/>
    <w:rsid w:val="00320386"/>
    <w:rsid w:val="00394B44"/>
    <w:rsid w:val="004375C4"/>
    <w:rsid w:val="004567C6"/>
    <w:rsid w:val="005303CD"/>
    <w:rsid w:val="008061DE"/>
    <w:rsid w:val="00E523D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934FC4-7F70-4554-B2FE-D5B9F0DF12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 </cp:lastModifiedBy>
  <cp:revision>5</cp:revision>
  <dcterms:created xsi:type="dcterms:W3CDTF">2021-04-01T06:41:00Z</dcterms:created>
  <dcterms:modified xsi:type="dcterms:W3CDTF">2021-04-12T13:37:00Z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3082-11.2.0.10078</vt:lpwstr>
  </property>
</Properties>
</file>