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45" w:rsidRPr="002C32D1" w:rsidRDefault="002C32D1" w:rsidP="00F14B45">
      <w:pPr>
        <w:spacing w:after="0" w:line="276" w:lineRule="auto"/>
        <w:jc w:val="both"/>
        <w:rPr>
          <w:rFonts w:ascii="Arial" w:hAnsi="Arial" w:cs="Arial"/>
          <w:b/>
        </w:rPr>
      </w:pPr>
      <w:r>
        <w:rPr>
          <w:rFonts w:ascii="Arial" w:hAnsi="Arial" w:cs="Arial"/>
          <w:b/>
        </w:rPr>
        <w:t xml:space="preserve">MODELO DE </w:t>
      </w:r>
      <w:r w:rsidR="00F14B45" w:rsidRPr="002C32D1">
        <w:rPr>
          <w:rFonts w:ascii="Arial" w:hAnsi="Arial" w:cs="Arial"/>
          <w:b/>
        </w:rPr>
        <w:t xml:space="preserve">INFORME DE FISCALIZACIÓN Y/O DE INTERVENCIÓN </w:t>
      </w:r>
      <w:r w:rsidR="00F14B45" w:rsidRPr="002C32D1">
        <w:rPr>
          <w:rFonts w:ascii="Arial" w:hAnsi="Arial" w:cs="Arial"/>
          <w:b/>
          <w:highlight w:val="lightGray"/>
        </w:rPr>
        <w:t xml:space="preserve">CON </w:t>
      </w:r>
      <w:r w:rsidR="004D73EB" w:rsidRPr="002C32D1">
        <w:rPr>
          <w:rFonts w:ascii="Arial" w:hAnsi="Arial" w:cs="Arial"/>
          <w:b/>
          <w:highlight w:val="lightGray"/>
        </w:rPr>
        <w:t>REPAROS</w:t>
      </w:r>
      <w:r w:rsidR="00F14B45" w:rsidRPr="002C32D1">
        <w:rPr>
          <w:rFonts w:ascii="Arial" w:hAnsi="Arial" w:cs="Arial"/>
          <w:b/>
          <w:highlight w:val="lightGray"/>
        </w:rPr>
        <w:t xml:space="preserve"> </w:t>
      </w:r>
      <w:r w:rsidRPr="002C32D1">
        <w:rPr>
          <w:rFonts w:ascii="Arial" w:hAnsi="Arial" w:cs="Arial"/>
          <w:b/>
          <w:highlight w:val="lightGray"/>
        </w:rPr>
        <w:t xml:space="preserve">/ CON REPAROS </w:t>
      </w:r>
      <w:r w:rsidR="00F14B45" w:rsidRPr="002C32D1">
        <w:rPr>
          <w:rFonts w:ascii="Arial" w:hAnsi="Arial" w:cs="Arial"/>
          <w:b/>
          <w:highlight w:val="lightGray"/>
        </w:rPr>
        <w:t>Y OBSERVACIONES</w:t>
      </w:r>
    </w:p>
    <w:p w:rsidR="00F14B45" w:rsidRPr="002C32D1" w:rsidRDefault="00F14B45" w:rsidP="00F14B45">
      <w:pPr>
        <w:spacing w:after="0" w:line="276" w:lineRule="auto"/>
        <w:jc w:val="both"/>
        <w:rPr>
          <w:rFonts w:ascii="Arial" w:hAnsi="Arial" w:cs="Arial"/>
          <w:b/>
        </w:rPr>
      </w:pPr>
    </w:p>
    <w:p w:rsidR="00E4126D" w:rsidRPr="002C32D1" w:rsidRDefault="00E4126D" w:rsidP="00E4126D">
      <w:pPr>
        <w:spacing w:after="0" w:line="276" w:lineRule="auto"/>
        <w:jc w:val="both"/>
        <w:rPr>
          <w:rFonts w:ascii="Arial" w:hAnsi="Arial" w:cs="Arial"/>
          <w:b/>
        </w:rPr>
      </w:pPr>
      <w:r w:rsidRPr="002C32D1">
        <w:rPr>
          <w:rFonts w:ascii="Arial" w:hAnsi="Arial" w:cs="Arial"/>
          <w:b/>
        </w:rPr>
        <w:t>ANTECEDENTES</w:t>
      </w:r>
    </w:p>
    <w:p w:rsidR="00E4126D" w:rsidRPr="002C32D1" w:rsidRDefault="00E4126D" w:rsidP="00E4126D">
      <w:pPr>
        <w:spacing w:after="0" w:line="276" w:lineRule="auto"/>
        <w:jc w:val="both"/>
        <w:rPr>
          <w:rFonts w:ascii="Arial" w:hAnsi="Arial" w:cs="Arial"/>
          <w:b/>
        </w:rPr>
      </w:pPr>
    </w:p>
    <w:p w:rsidR="00E4126D" w:rsidRPr="002C32D1" w:rsidRDefault="00E4126D" w:rsidP="002C32D1">
      <w:pPr>
        <w:pStyle w:val="Prrafodelista"/>
        <w:numPr>
          <w:ilvl w:val="0"/>
          <w:numId w:val="7"/>
        </w:numPr>
        <w:spacing w:after="0" w:line="276" w:lineRule="auto"/>
        <w:ind w:left="426" w:hanging="426"/>
        <w:jc w:val="both"/>
        <w:rPr>
          <w:rFonts w:ascii="Arial" w:hAnsi="Arial" w:cs="Arial"/>
          <w:bCs/>
        </w:rPr>
      </w:pPr>
      <w:r w:rsidRPr="002C32D1">
        <w:rPr>
          <w:rFonts w:ascii="Arial" w:hAnsi="Arial" w:cs="Arial"/>
          <w:bCs/>
        </w:rPr>
        <w:t>Número de expediente:</w:t>
      </w:r>
    </w:p>
    <w:p w:rsidR="00E4126D" w:rsidRPr="002C32D1" w:rsidRDefault="00E4126D" w:rsidP="002C32D1">
      <w:pPr>
        <w:pStyle w:val="Prrafodelista"/>
        <w:numPr>
          <w:ilvl w:val="0"/>
          <w:numId w:val="7"/>
        </w:numPr>
        <w:spacing w:after="0" w:line="276" w:lineRule="auto"/>
        <w:ind w:left="426" w:hanging="426"/>
        <w:jc w:val="both"/>
        <w:rPr>
          <w:rFonts w:ascii="Arial" w:hAnsi="Arial" w:cs="Arial"/>
          <w:bCs/>
        </w:rPr>
      </w:pPr>
      <w:r w:rsidRPr="002C32D1">
        <w:rPr>
          <w:rFonts w:ascii="Arial" w:hAnsi="Arial" w:cs="Arial"/>
          <w:bCs/>
        </w:rPr>
        <w:t xml:space="preserve">Modalidad de gasto y tipo de expediente: </w:t>
      </w:r>
    </w:p>
    <w:p w:rsidR="00E4126D" w:rsidRPr="002C32D1" w:rsidRDefault="00E4126D" w:rsidP="002C32D1">
      <w:pPr>
        <w:pStyle w:val="Prrafodelista"/>
        <w:numPr>
          <w:ilvl w:val="0"/>
          <w:numId w:val="7"/>
        </w:numPr>
        <w:spacing w:after="0" w:line="276" w:lineRule="auto"/>
        <w:ind w:left="426" w:hanging="426"/>
        <w:jc w:val="both"/>
        <w:rPr>
          <w:rFonts w:ascii="Arial" w:hAnsi="Arial" w:cs="Arial"/>
          <w:bCs/>
        </w:rPr>
      </w:pPr>
      <w:r w:rsidRPr="002C32D1">
        <w:rPr>
          <w:rFonts w:ascii="Arial" w:hAnsi="Arial" w:cs="Arial"/>
          <w:bCs/>
        </w:rPr>
        <w:t>Fase del gasto:</w:t>
      </w:r>
    </w:p>
    <w:p w:rsidR="00E4126D" w:rsidRPr="002C32D1" w:rsidRDefault="00E4126D" w:rsidP="002C32D1">
      <w:pPr>
        <w:pStyle w:val="Prrafodelista"/>
        <w:numPr>
          <w:ilvl w:val="0"/>
          <w:numId w:val="7"/>
        </w:numPr>
        <w:spacing w:after="0" w:line="276" w:lineRule="auto"/>
        <w:ind w:left="426" w:hanging="426"/>
        <w:jc w:val="both"/>
        <w:rPr>
          <w:rFonts w:ascii="Arial" w:hAnsi="Arial" w:cs="Arial"/>
          <w:bCs/>
        </w:rPr>
      </w:pPr>
      <w:r w:rsidRPr="002C32D1">
        <w:rPr>
          <w:rFonts w:ascii="Arial" w:hAnsi="Arial" w:cs="Arial"/>
          <w:bCs/>
        </w:rPr>
        <w:t>Importe de la fase del gasto:</w:t>
      </w:r>
    </w:p>
    <w:p w:rsidR="00E4126D" w:rsidRPr="002C32D1" w:rsidRDefault="00E4126D" w:rsidP="002C32D1">
      <w:pPr>
        <w:pStyle w:val="Prrafodelista"/>
        <w:numPr>
          <w:ilvl w:val="0"/>
          <w:numId w:val="7"/>
        </w:numPr>
        <w:spacing w:after="0" w:line="276" w:lineRule="auto"/>
        <w:ind w:left="426" w:hanging="426"/>
        <w:jc w:val="both"/>
        <w:rPr>
          <w:rFonts w:ascii="Arial" w:hAnsi="Arial" w:cs="Arial"/>
          <w:bCs/>
        </w:rPr>
      </w:pPr>
      <w:r w:rsidRPr="002C32D1">
        <w:rPr>
          <w:rFonts w:ascii="Arial" w:hAnsi="Arial" w:cs="Arial"/>
          <w:bCs/>
        </w:rPr>
        <w:t>Aplicación presupuestaria:</w:t>
      </w:r>
    </w:p>
    <w:p w:rsidR="00E4126D" w:rsidRPr="002C32D1" w:rsidRDefault="00E4126D" w:rsidP="002C32D1">
      <w:pPr>
        <w:pStyle w:val="Prrafodelista"/>
        <w:numPr>
          <w:ilvl w:val="0"/>
          <w:numId w:val="7"/>
        </w:numPr>
        <w:spacing w:after="0" w:line="276" w:lineRule="auto"/>
        <w:ind w:left="426" w:hanging="426"/>
        <w:jc w:val="both"/>
        <w:rPr>
          <w:rFonts w:ascii="Arial" w:hAnsi="Arial" w:cs="Arial"/>
          <w:bCs/>
        </w:rPr>
      </w:pPr>
      <w:r w:rsidRPr="002C32D1">
        <w:rPr>
          <w:rFonts w:ascii="Arial" w:hAnsi="Arial" w:cs="Arial"/>
          <w:bCs/>
        </w:rPr>
        <w:t>Órgano competente:</w:t>
      </w:r>
    </w:p>
    <w:p w:rsidR="00E4126D" w:rsidRPr="002C32D1" w:rsidRDefault="00E4126D" w:rsidP="00E4126D">
      <w:pPr>
        <w:spacing w:after="0" w:line="276" w:lineRule="auto"/>
        <w:jc w:val="both"/>
        <w:rPr>
          <w:rFonts w:ascii="Arial" w:hAnsi="Arial" w:cs="Arial"/>
          <w:b/>
        </w:rPr>
      </w:pPr>
    </w:p>
    <w:p w:rsidR="00E4126D" w:rsidRPr="002C32D1" w:rsidRDefault="00E4126D" w:rsidP="00E4126D">
      <w:pPr>
        <w:spacing w:after="0" w:line="276" w:lineRule="auto"/>
        <w:jc w:val="both"/>
        <w:rPr>
          <w:rFonts w:ascii="Arial" w:hAnsi="Arial" w:cs="Arial"/>
          <w:b/>
        </w:rPr>
      </w:pPr>
      <w:r w:rsidRPr="002C32D1">
        <w:rPr>
          <w:rFonts w:ascii="Arial" w:hAnsi="Arial" w:cs="Arial"/>
          <w:b/>
        </w:rPr>
        <w:t>FUNDAMENTOS JURÍDICOS</w:t>
      </w:r>
    </w:p>
    <w:p w:rsidR="00E4126D" w:rsidRPr="002C32D1" w:rsidRDefault="00E4126D" w:rsidP="00E4126D">
      <w:pPr>
        <w:spacing w:after="0" w:line="276" w:lineRule="auto"/>
        <w:jc w:val="both"/>
        <w:rPr>
          <w:rFonts w:ascii="Arial" w:hAnsi="Arial" w:cs="Arial"/>
          <w:b/>
        </w:rPr>
      </w:pPr>
    </w:p>
    <w:p w:rsidR="00E4126D" w:rsidRPr="002C32D1" w:rsidRDefault="00E4126D" w:rsidP="00E4126D">
      <w:pPr>
        <w:pStyle w:val="Prrafodelista"/>
        <w:numPr>
          <w:ilvl w:val="0"/>
          <w:numId w:val="6"/>
        </w:numPr>
        <w:spacing w:after="0" w:line="276" w:lineRule="auto"/>
        <w:jc w:val="both"/>
        <w:rPr>
          <w:rFonts w:ascii="Arial" w:hAnsi="Arial" w:cs="Arial"/>
        </w:rPr>
      </w:pPr>
      <w:r w:rsidRPr="002C32D1">
        <w:rPr>
          <w:rFonts w:ascii="Arial" w:hAnsi="Arial" w:cs="Arial"/>
        </w:rPr>
        <w:t>Real Decreto Legislativo 2/2004, de 5 de marzo, por el que se aprueba el texto refundido de la Ley Reguladora de las Haciendas Locales (</w:t>
      </w:r>
      <w:proofErr w:type="spellStart"/>
      <w:r w:rsidR="002C32D1">
        <w:rPr>
          <w:rFonts w:ascii="Arial" w:hAnsi="Arial" w:cs="Arial"/>
        </w:rPr>
        <w:t>RDLeg</w:t>
      </w:r>
      <w:proofErr w:type="spellEnd"/>
      <w:r w:rsidR="002C32D1">
        <w:rPr>
          <w:rFonts w:ascii="Arial" w:hAnsi="Arial" w:cs="Arial"/>
        </w:rPr>
        <w:t xml:space="preserve"> 2/2004</w:t>
      </w:r>
      <w:r w:rsidRPr="002C32D1">
        <w:rPr>
          <w:rFonts w:ascii="Arial" w:hAnsi="Arial" w:cs="Arial"/>
        </w:rPr>
        <w:t>).</w:t>
      </w:r>
    </w:p>
    <w:p w:rsidR="00E4126D" w:rsidRPr="002C32D1" w:rsidRDefault="00E4126D" w:rsidP="00E4126D">
      <w:pPr>
        <w:pStyle w:val="Prrafodelista"/>
        <w:numPr>
          <w:ilvl w:val="0"/>
          <w:numId w:val="6"/>
        </w:numPr>
        <w:spacing w:after="0" w:line="276" w:lineRule="auto"/>
        <w:jc w:val="both"/>
        <w:rPr>
          <w:rFonts w:ascii="Arial" w:hAnsi="Arial" w:cs="Arial"/>
        </w:rPr>
      </w:pPr>
      <w:r w:rsidRPr="002C32D1">
        <w:rPr>
          <w:rFonts w:ascii="Arial" w:hAnsi="Arial" w:cs="Arial"/>
        </w:rPr>
        <w:t>Real Decreto 424/2017, de 28 de abril, por el que se regula el Régimen Jurídico del Control Interno a las Entidades del Sector Público Local (RD 424/2017).</w:t>
      </w:r>
    </w:p>
    <w:p w:rsidR="00E4126D" w:rsidRPr="002C32D1" w:rsidRDefault="00E4126D" w:rsidP="00E4126D">
      <w:pPr>
        <w:spacing w:after="0" w:line="276" w:lineRule="auto"/>
        <w:jc w:val="both"/>
        <w:rPr>
          <w:rFonts w:ascii="Arial" w:hAnsi="Arial" w:cs="Arial"/>
        </w:rPr>
      </w:pPr>
    </w:p>
    <w:p w:rsidR="00E4126D" w:rsidRPr="002C32D1" w:rsidRDefault="00E4126D" w:rsidP="00E4126D">
      <w:pPr>
        <w:spacing w:after="0" w:line="276" w:lineRule="auto"/>
        <w:jc w:val="both"/>
        <w:rPr>
          <w:rFonts w:ascii="Arial" w:hAnsi="Arial" w:cs="Arial"/>
        </w:rPr>
      </w:pPr>
      <w:r w:rsidRPr="002C32D1">
        <w:rPr>
          <w:rFonts w:ascii="Arial" w:hAnsi="Arial" w:cs="Arial"/>
          <w:b/>
        </w:rPr>
        <w:t>INFORMO</w:t>
      </w:r>
    </w:p>
    <w:p w:rsidR="00E4126D" w:rsidRPr="002C32D1" w:rsidRDefault="00E4126D" w:rsidP="00E4126D">
      <w:pPr>
        <w:spacing w:after="0" w:line="276" w:lineRule="auto"/>
        <w:jc w:val="both"/>
        <w:rPr>
          <w:rFonts w:ascii="Arial" w:hAnsi="Arial" w:cs="Arial"/>
        </w:rPr>
      </w:pPr>
    </w:p>
    <w:p w:rsidR="00E4126D" w:rsidRPr="002C32D1" w:rsidRDefault="00E4126D" w:rsidP="00E4126D">
      <w:pPr>
        <w:spacing w:after="0" w:line="276" w:lineRule="auto"/>
        <w:jc w:val="both"/>
        <w:rPr>
          <w:rFonts w:ascii="Arial" w:hAnsi="Arial" w:cs="Arial"/>
        </w:rPr>
      </w:pPr>
      <w:bookmarkStart w:id="0" w:name="_Hlk46505926"/>
      <w:r w:rsidRPr="002C32D1">
        <w:rPr>
          <w:rFonts w:ascii="Arial" w:hAnsi="Arial" w:cs="Arial"/>
        </w:rPr>
        <w:t>Que atendiendo a lo dispuesto en la normativa expuesta y a la vista de la documentación incluida en el expediente, se fiscalizan los siguientes requisitos establecidos en el RD 424/2017, de acuerdo con la naturaleza del expediente, con el siguiente resultado:</w:t>
      </w:r>
    </w:p>
    <w:bookmarkEnd w:id="0"/>
    <w:p w:rsidR="00E4126D" w:rsidRPr="002C32D1" w:rsidRDefault="00E4126D" w:rsidP="00E4126D">
      <w:pPr>
        <w:spacing w:after="0" w:line="276" w:lineRule="auto"/>
        <w:jc w:val="both"/>
        <w:rPr>
          <w:rFonts w:ascii="Arial" w:hAnsi="Arial" w:cs="Arial"/>
        </w:rPr>
      </w:pPr>
    </w:p>
    <w:p w:rsidR="00E4126D" w:rsidRDefault="00E4126D" w:rsidP="002C32D1">
      <w:pPr>
        <w:pStyle w:val="Prrafodelista"/>
        <w:numPr>
          <w:ilvl w:val="0"/>
          <w:numId w:val="8"/>
        </w:numPr>
        <w:spacing w:after="0" w:line="276" w:lineRule="auto"/>
        <w:ind w:left="284" w:hanging="284"/>
        <w:jc w:val="both"/>
        <w:rPr>
          <w:rFonts w:ascii="Arial" w:hAnsi="Arial" w:cs="Arial"/>
          <w:b/>
        </w:rPr>
      </w:pPr>
      <w:r w:rsidRPr="002C32D1">
        <w:rPr>
          <w:rFonts w:ascii="Arial" w:hAnsi="Arial" w:cs="Arial"/>
          <w:b/>
        </w:rPr>
        <w:t>Requisitos fiscalizados de conformidad:</w:t>
      </w:r>
    </w:p>
    <w:p w:rsidR="00DF2811" w:rsidRDefault="00DF2811" w:rsidP="00DF2811">
      <w:pPr>
        <w:spacing w:after="0" w:line="276" w:lineRule="auto"/>
        <w:jc w:val="both"/>
        <w:rPr>
          <w:rFonts w:ascii="Arial" w:hAnsi="Arial" w:cs="Arial"/>
          <w:b/>
        </w:rPr>
      </w:pPr>
    </w:p>
    <w:p w:rsidR="00DF2811" w:rsidRPr="002C32D1" w:rsidRDefault="00DF2811" w:rsidP="00DF281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softHyphen/>
        <w:t>Que la ordenación del pago se acomoda al plan de disposición de fondos, una vez verificados el propio plan de disposición de fondos o el informe que al respecto emita la Tesorería de la entidad. (Art. 21 RD 424/2017)</w:t>
      </w:r>
    </w:p>
    <w:p w:rsidR="00DF2811" w:rsidRPr="002C32D1" w:rsidRDefault="00DF2811" w:rsidP="00DF281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w:t>
      </w:r>
    </w:p>
    <w:p w:rsidR="00DF2811" w:rsidRPr="00DF2811" w:rsidRDefault="00DF2811" w:rsidP="00DF2811">
      <w:pPr>
        <w:spacing w:after="0" w:line="276" w:lineRule="auto"/>
        <w:jc w:val="both"/>
        <w:rPr>
          <w:rFonts w:ascii="Arial" w:hAnsi="Arial" w:cs="Arial"/>
          <w:b/>
        </w:rPr>
      </w:pPr>
    </w:p>
    <w:p w:rsidR="00E4126D" w:rsidRPr="002C32D1" w:rsidRDefault="00E4126D" w:rsidP="002C32D1">
      <w:pPr>
        <w:pStyle w:val="Prrafodelista"/>
        <w:numPr>
          <w:ilvl w:val="0"/>
          <w:numId w:val="8"/>
        </w:numPr>
        <w:spacing w:after="0" w:line="276" w:lineRule="auto"/>
        <w:ind w:left="284" w:hanging="284"/>
        <w:jc w:val="both"/>
        <w:rPr>
          <w:rFonts w:ascii="Arial" w:hAnsi="Arial" w:cs="Arial"/>
          <w:b/>
        </w:rPr>
      </w:pPr>
      <w:bookmarkStart w:id="1" w:name="_Hlk46505863"/>
      <w:bookmarkStart w:id="2" w:name="_Hlk46505854"/>
      <w:r w:rsidRPr="002C32D1">
        <w:rPr>
          <w:rFonts w:ascii="Arial" w:hAnsi="Arial" w:cs="Arial"/>
          <w:b/>
        </w:rPr>
        <w:t>Requisitos que, de acuerdo con la naturaleza del expediente y/o en esta fase del procedimiento no procede su revisión:</w:t>
      </w:r>
    </w:p>
    <w:bookmarkEnd w:id="2"/>
    <w:p w:rsidR="00E4126D" w:rsidRPr="002C32D1" w:rsidRDefault="00E4126D" w:rsidP="00E4126D">
      <w:pPr>
        <w:spacing w:after="0" w:line="276" w:lineRule="auto"/>
        <w:jc w:val="both"/>
        <w:rPr>
          <w:rFonts w:ascii="Arial" w:hAnsi="Arial" w:cs="Arial"/>
          <w:b/>
        </w:rPr>
      </w:pPr>
    </w:p>
    <w:p w:rsidR="00E4126D" w:rsidRPr="002C32D1" w:rsidRDefault="00E4126D" w:rsidP="00E66DFA">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Al tratarse de supuestos en que existen retenciones judiciales o compensaciones de deudas del acreedor, que se acreditan las correspondientes minoraciones en el pago mediante los acuerdos que las disponen. (La intervención formal de la ordenación del pago se debe aplicar a estos acuerdos de minoración.) (Art. 21 RD 424/2017)</w:t>
      </w:r>
    </w:p>
    <w:p w:rsidR="00E4126D" w:rsidRPr="002C32D1" w:rsidRDefault="00E4126D" w:rsidP="00E66DFA">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w:t>
      </w:r>
    </w:p>
    <w:bookmarkEnd w:id="1"/>
    <w:p w:rsidR="00E4126D" w:rsidRDefault="00E4126D" w:rsidP="00E4126D">
      <w:pPr>
        <w:spacing w:after="0" w:line="276" w:lineRule="auto"/>
        <w:jc w:val="both"/>
        <w:rPr>
          <w:rFonts w:ascii="Arial" w:hAnsi="Arial" w:cs="Arial"/>
        </w:rPr>
      </w:pPr>
    </w:p>
    <w:p w:rsidR="00E4126D" w:rsidRPr="002C32D1" w:rsidRDefault="00E4126D" w:rsidP="002C32D1">
      <w:pPr>
        <w:pStyle w:val="Prrafodelista"/>
        <w:numPr>
          <w:ilvl w:val="0"/>
          <w:numId w:val="8"/>
        </w:numPr>
        <w:spacing w:after="0" w:line="276" w:lineRule="auto"/>
        <w:ind w:left="284" w:hanging="284"/>
        <w:jc w:val="both"/>
        <w:rPr>
          <w:rFonts w:ascii="Arial" w:hAnsi="Arial" w:cs="Arial"/>
          <w:b/>
        </w:rPr>
      </w:pPr>
      <w:r w:rsidRPr="002C32D1">
        <w:rPr>
          <w:rFonts w:ascii="Arial" w:hAnsi="Arial" w:cs="Arial"/>
          <w:b/>
        </w:rPr>
        <w:t xml:space="preserve">Requisitos fiscalizados con </w:t>
      </w:r>
      <w:r w:rsidR="00383B36" w:rsidRPr="002C32D1">
        <w:rPr>
          <w:rFonts w:ascii="Arial" w:hAnsi="Arial" w:cs="Arial"/>
          <w:b/>
        </w:rPr>
        <w:t>reparos</w:t>
      </w:r>
      <w:r w:rsidRPr="002C32D1">
        <w:rPr>
          <w:rFonts w:ascii="Arial" w:hAnsi="Arial" w:cs="Arial"/>
          <w:b/>
        </w:rPr>
        <w:t xml:space="preserve"> por el incumplimiento de los siguientes requisitos:</w:t>
      </w:r>
    </w:p>
    <w:p w:rsidR="00E4126D" w:rsidRPr="002C32D1" w:rsidRDefault="00E4126D" w:rsidP="00E4126D">
      <w:pPr>
        <w:spacing w:after="0" w:line="276" w:lineRule="auto"/>
        <w:jc w:val="both"/>
        <w:rPr>
          <w:rFonts w:ascii="Arial" w:hAnsi="Arial" w:cs="Arial"/>
          <w:b/>
        </w:rPr>
      </w:pPr>
    </w:p>
    <w:p w:rsidR="00DF2811" w:rsidRPr="002C32D1" w:rsidRDefault="00DF2811" w:rsidP="00DF281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lastRenderedPageBreak/>
        <w:t>Que la ordenación del pago se dicta por un órgano competente. (Art. 21 RD 424/2017)</w:t>
      </w:r>
    </w:p>
    <w:p w:rsidR="00DF2811" w:rsidRPr="002C32D1" w:rsidRDefault="00DF2811" w:rsidP="00DF281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Pr>
          <w:rFonts w:ascii="Arial" w:hAnsi="Arial" w:cs="Arial"/>
        </w:rPr>
        <w:t>…</w:t>
      </w:r>
    </w:p>
    <w:p w:rsidR="00E4126D" w:rsidRPr="002C32D1" w:rsidRDefault="00E4126D" w:rsidP="00E4126D">
      <w:pPr>
        <w:spacing w:after="0" w:line="276" w:lineRule="auto"/>
        <w:jc w:val="both"/>
        <w:rPr>
          <w:rFonts w:ascii="Arial" w:hAnsi="Arial" w:cs="Arial"/>
          <w:b/>
        </w:rPr>
      </w:pPr>
    </w:p>
    <w:p w:rsidR="00E4126D" w:rsidRPr="002C32D1" w:rsidRDefault="00E4126D" w:rsidP="00E4126D">
      <w:pPr>
        <w:spacing w:after="0" w:line="276" w:lineRule="auto"/>
        <w:jc w:val="both"/>
        <w:rPr>
          <w:rFonts w:ascii="Arial" w:hAnsi="Arial" w:cs="Arial"/>
          <w:b/>
        </w:rPr>
      </w:pPr>
      <w:r w:rsidRPr="002C32D1">
        <w:rPr>
          <w:rFonts w:ascii="Arial" w:hAnsi="Arial" w:cs="Arial"/>
          <w:b/>
        </w:rPr>
        <w:t>CONCLUSIÓN</w:t>
      </w:r>
    </w:p>
    <w:p w:rsidR="00E173AF" w:rsidRPr="002C32D1" w:rsidRDefault="00E173AF" w:rsidP="00E4126D">
      <w:pPr>
        <w:spacing w:after="0" w:line="276" w:lineRule="auto"/>
        <w:jc w:val="both"/>
        <w:rPr>
          <w:rFonts w:ascii="Arial" w:hAnsi="Arial" w:cs="Arial"/>
        </w:rPr>
      </w:pPr>
    </w:p>
    <w:p w:rsidR="00E4126D" w:rsidRPr="002C32D1" w:rsidRDefault="00E4126D" w:rsidP="00E4126D">
      <w:pPr>
        <w:spacing w:after="0" w:line="276" w:lineRule="auto"/>
        <w:jc w:val="both"/>
        <w:rPr>
          <w:rFonts w:ascii="Arial" w:hAnsi="Arial" w:cs="Arial"/>
        </w:rPr>
      </w:pPr>
      <w:r w:rsidRPr="002C32D1">
        <w:rPr>
          <w:rFonts w:ascii="Arial" w:hAnsi="Arial" w:cs="Arial"/>
        </w:rPr>
        <w:t>Se fiscaliza el expediente de referencia en esta fase del procedimiento con l</w:t>
      </w:r>
      <w:r w:rsidR="002C32D1">
        <w:rPr>
          <w:rFonts w:ascii="Arial" w:hAnsi="Arial" w:cs="Arial"/>
        </w:rPr>
        <w:t>o</w:t>
      </w:r>
      <w:r w:rsidRPr="002C32D1">
        <w:rPr>
          <w:rFonts w:ascii="Arial" w:hAnsi="Arial" w:cs="Arial"/>
        </w:rPr>
        <w:t xml:space="preserve">s siguientes </w:t>
      </w:r>
      <w:r w:rsidR="002C32D1">
        <w:rPr>
          <w:rFonts w:ascii="Arial" w:hAnsi="Arial" w:cs="Arial"/>
        </w:rPr>
        <w:t>reparos</w:t>
      </w:r>
      <w:r w:rsidRPr="002C32D1">
        <w:rPr>
          <w:rFonts w:ascii="Arial" w:hAnsi="Arial" w:cs="Arial"/>
        </w:rPr>
        <w:t xml:space="preserve"> derivad</w:t>
      </w:r>
      <w:r w:rsidR="002C32D1">
        <w:rPr>
          <w:rFonts w:ascii="Arial" w:hAnsi="Arial" w:cs="Arial"/>
        </w:rPr>
        <w:t>o</w:t>
      </w:r>
      <w:r w:rsidRPr="002C32D1">
        <w:rPr>
          <w:rFonts w:ascii="Arial" w:hAnsi="Arial" w:cs="Arial"/>
        </w:rPr>
        <w:t>s del inc</w:t>
      </w:r>
      <w:bookmarkStart w:id="3" w:name="_GoBack"/>
      <w:bookmarkEnd w:id="3"/>
      <w:r w:rsidRPr="002C32D1">
        <w:rPr>
          <w:rFonts w:ascii="Arial" w:hAnsi="Arial" w:cs="Arial"/>
        </w:rPr>
        <w:t>umplimiento de los siguientes requisitos:</w:t>
      </w:r>
    </w:p>
    <w:p w:rsidR="00E4126D" w:rsidRPr="002C32D1" w:rsidRDefault="00E4126D" w:rsidP="00E4126D">
      <w:pPr>
        <w:spacing w:after="0" w:line="276" w:lineRule="auto"/>
        <w:jc w:val="both"/>
        <w:rPr>
          <w:rFonts w:ascii="Arial" w:hAnsi="Arial" w:cs="Arial"/>
        </w:rPr>
      </w:pPr>
    </w:p>
    <w:p w:rsidR="00DF2811" w:rsidRPr="002C32D1" w:rsidRDefault="00DF2811" w:rsidP="00DF281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Que la ordenación del pago se dicta por un órgano competente. (Art. 21 RD 424/2017)</w:t>
      </w:r>
    </w:p>
    <w:p w:rsidR="00DF2811" w:rsidRPr="002C32D1" w:rsidRDefault="00DF2811" w:rsidP="00DF2811">
      <w:pPr>
        <w:pStyle w:val="Prrafodelista"/>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Pr>
          <w:rFonts w:ascii="Arial" w:hAnsi="Arial" w:cs="Arial"/>
        </w:rPr>
        <w:t>…</w:t>
      </w:r>
    </w:p>
    <w:p w:rsidR="00E4126D" w:rsidRPr="002C32D1" w:rsidRDefault="00E4126D" w:rsidP="00E4126D">
      <w:pPr>
        <w:spacing w:after="0" w:line="276" w:lineRule="auto"/>
        <w:jc w:val="both"/>
        <w:rPr>
          <w:rFonts w:ascii="Arial" w:hAnsi="Arial" w:cs="Arial"/>
        </w:rPr>
      </w:pPr>
    </w:p>
    <w:p w:rsidR="00E4126D" w:rsidRPr="002C32D1" w:rsidRDefault="00E4126D" w:rsidP="00E4126D">
      <w:pPr>
        <w:spacing w:after="0" w:line="276" w:lineRule="auto"/>
        <w:jc w:val="both"/>
        <w:rPr>
          <w:rFonts w:ascii="Arial" w:hAnsi="Arial" w:cs="Arial"/>
        </w:rPr>
      </w:pPr>
      <w:r w:rsidRPr="002C32D1">
        <w:rPr>
          <w:rFonts w:ascii="Arial" w:hAnsi="Arial" w:cs="Arial"/>
        </w:rPr>
        <w:t xml:space="preserve">Dado que el incumplimiento se incluye en los supuestos establecidos en los artículos 216 </w:t>
      </w:r>
      <w:proofErr w:type="spellStart"/>
      <w:r w:rsidR="002C32D1">
        <w:rPr>
          <w:rFonts w:ascii="Arial" w:hAnsi="Arial" w:cs="Arial"/>
        </w:rPr>
        <w:t>RDLeg</w:t>
      </w:r>
      <w:proofErr w:type="spellEnd"/>
      <w:r w:rsidR="002C32D1">
        <w:rPr>
          <w:rFonts w:ascii="Arial" w:hAnsi="Arial" w:cs="Arial"/>
        </w:rPr>
        <w:t xml:space="preserve"> 2/2004</w:t>
      </w:r>
      <w:r w:rsidRPr="002C32D1">
        <w:rPr>
          <w:rFonts w:ascii="Arial" w:hAnsi="Arial" w:cs="Arial"/>
        </w:rPr>
        <w:t xml:space="preserve"> y 12.3 del RD 424/2017, procede la suspensión de la tramitación del expediente hasta que se subsanen las incidencias indicadas o se resuelva la discrepancia, de conformidad con el procedimiento previsto en los artículos 217 y 218 del </w:t>
      </w:r>
      <w:proofErr w:type="spellStart"/>
      <w:r w:rsidR="002C32D1">
        <w:rPr>
          <w:rFonts w:ascii="Arial" w:hAnsi="Arial" w:cs="Arial"/>
        </w:rPr>
        <w:t>RDLeg</w:t>
      </w:r>
      <w:proofErr w:type="spellEnd"/>
      <w:r w:rsidR="002C32D1">
        <w:rPr>
          <w:rFonts w:ascii="Arial" w:hAnsi="Arial" w:cs="Arial"/>
        </w:rPr>
        <w:t xml:space="preserve"> 2/2004</w:t>
      </w:r>
      <w:r w:rsidRPr="002C32D1">
        <w:rPr>
          <w:rFonts w:ascii="Arial" w:hAnsi="Arial" w:cs="Arial"/>
        </w:rPr>
        <w:t xml:space="preserve"> y 15 del RD 424/2017.</w:t>
      </w:r>
    </w:p>
    <w:p w:rsidR="00F14B45" w:rsidRPr="002C32D1" w:rsidRDefault="00F14B45" w:rsidP="00F14B45">
      <w:pPr>
        <w:spacing w:after="0" w:line="276" w:lineRule="auto"/>
        <w:jc w:val="both"/>
        <w:rPr>
          <w:rFonts w:ascii="Arial" w:hAnsi="Arial" w:cs="Arial"/>
        </w:rPr>
      </w:pPr>
    </w:p>
    <w:p w:rsidR="00E4126D" w:rsidRPr="002C32D1" w:rsidRDefault="00E4126D" w:rsidP="00F14B45">
      <w:pPr>
        <w:spacing w:after="0" w:line="276" w:lineRule="auto"/>
        <w:jc w:val="both"/>
        <w:rPr>
          <w:rFonts w:ascii="Arial" w:hAnsi="Arial" w:cs="Arial"/>
        </w:rPr>
      </w:pPr>
    </w:p>
    <w:p w:rsidR="002C32D1" w:rsidRPr="00257892" w:rsidRDefault="002C32D1" w:rsidP="002C32D1">
      <w:pPr>
        <w:shd w:val="clear" w:color="auto" w:fill="D9D9D9" w:themeFill="background1" w:themeFillShade="D9"/>
        <w:spacing w:after="0" w:line="276" w:lineRule="auto"/>
        <w:jc w:val="both"/>
        <w:rPr>
          <w:rFonts w:ascii="Arial" w:hAnsi="Arial" w:cs="Arial"/>
        </w:rPr>
      </w:pPr>
      <w:r w:rsidRPr="00257892">
        <w:rPr>
          <w:rFonts w:ascii="Arial" w:hAnsi="Arial" w:cs="Arial"/>
        </w:rPr>
        <w:t>Igualmente, de acuerdo con la facultad que confiere a esta Intervención la normativa indicada, se formulan las observaciones siguientes, sin que estas tengan, en ningún caso, efectos suspensivos en la tramitación del expediente:</w:t>
      </w:r>
      <w:r>
        <w:rPr>
          <w:rStyle w:val="Refdenotaalpie"/>
          <w:rFonts w:ascii="Arial" w:hAnsi="Arial" w:cs="Arial"/>
        </w:rPr>
        <w:footnoteReference w:id="1"/>
      </w:r>
    </w:p>
    <w:p w:rsidR="002C32D1" w:rsidRPr="00257892" w:rsidRDefault="002C32D1" w:rsidP="002C32D1">
      <w:pPr>
        <w:spacing w:after="0" w:line="276" w:lineRule="auto"/>
        <w:jc w:val="both"/>
        <w:rPr>
          <w:rFonts w:ascii="Arial" w:hAnsi="Arial" w:cs="Arial"/>
        </w:rPr>
      </w:pPr>
    </w:p>
    <w:p w:rsidR="00E4126D" w:rsidRPr="002C32D1" w:rsidRDefault="00E4126D" w:rsidP="00E66DFA">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w:t>
      </w:r>
    </w:p>
    <w:p w:rsidR="00E4126D" w:rsidRPr="002C32D1" w:rsidRDefault="00E4126D" w:rsidP="00E66DFA">
      <w:pPr>
        <w:pStyle w:val="Prrafodelista"/>
        <w:numPr>
          <w:ilvl w:val="0"/>
          <w:numId w:val="4"/>
        </w:numPr>
        <w:pBdr>
          <w:top w:val="single" w:sz="4" w:space="1" w:color="auto"/>
          <w:left w:val="single" w:sz="4" w:space="4" w:color="auto"/>
          <w:bottom w:val="single" w:sz="4" w:space="1" w:color="auto"/>
          <w:right w:val="single" w:sz="4" w:space="4" w:color="auto"/>
        </w:pBdr>
        <w:shd w:val="clear" w:color="auto" w:fill="C5E0B3" w:themeFill="accent6" w:themeFillTint="66"/>
        <w:spacing w:after="0" w:line="276" w:lineRule="auto"/>
        <w:jc w:val="both"/>
        <w:rPr>
          <w:rFonts w:ascii="Arial" w:hAnsi="Arial" w:cs="Arial"/>
        </w:rPr>
      </w:pPr>
      <w:r w:rsidRPr="002C32D1">
        <w:rPr>
          <w:rFonts w:ascii="Arial" w:hAnsi="Arial" w:cs="Arial"/>
        </w:rPr>
        <w:t>….</w:t>
      </w:r>
    </w:p>
    <w:p w:rsidR="00F14B45" w:rsidRPr="002C32D1" w:rsidRDefault="00F14B45" w:rsidP="00F14B45">
      <w:pPr>
        <w:spacing w:after="0" w:line="276" w:lineRule="auto"/>
        <w:jc w:val="both"/>
        <w:rPr>
          <w:rFonts w:ascii="Arial" w:hAnsi="Arial" w:cs="Arial"/>
        </w:rPr>
      </w:pPr>
    </w:p>
    <w:p w:rsidR="00E66DFA" w:rsidRDefault="00E66DFA" w:rsidP="00E66DFA">
      <w:pPr>
        <w:spacing w:after="0" w:line="276" w:lineRule="auto"/>
        <w:jc w:val="both"/>
        <w:rPr>
          <w:rFonts w:ascii="Arial" w:eastAsia="Times New Roman" w:hAnsi="Arial" w:cs="Arial"/>
        </w:rPr>
      </w:pPr>
      <w:r>
        <w:rPr>
          <w:rFonts w:ascii="Arial" w:eastAsia="Times New Roman" w:hAnsi="Arial" w:cs="Arial"/>
        </w:rPr>
        <w:t>Se hace constar que, de acuerdo con el artículo 28.</w:t>
      </w:r>
      <w:r>
        <w:rPr>
          <w:rFonts w:ascii="Arial" w:eastAsia="Times New Roman" w:hAnsi="Arial" w:cs="Arial"/>
          <w:i/>
          <w:iCs/>
        </w:rPr>
        <w:t>d</w:t>
      </w:r>
      <w:r>
        <w:rPr>
          <w:rFonts w:ascii="Arial" w:eastAsia="Times New Roman" w:hAnsi="Arial" w:cs="Arial"/>
        </w:rPr>
        <w:t xml:space="preserve"> de la Ley 19/2013, de 9 de diciembre, de transparencia, acceso a la información pública y buen gobierno</w:t>
      </w:r>
      <w:r w:rsidR="00DA666E">
        <w:rPr>
          <w:rFonts w:ascii="Arial" w:eastAsia="Times New Roman" w:hAnsi="Arial" w:cs="Arial"/>
        </w:rPr>
        <w:t xml:space="preserve"> (L 19/2013)</w:t>
      </w:r>
      <w:r>
        <w:rPr>
          <w:rFonts w:ascii="Arial" w:eastAsia="Times New Roman" w:hAnsi="Arial" w:cs="Arial"/>
        </w:rPr>
        <w:t>, la omisión del procedimiento de resolución de discrepancias ante los reparos suspensivos de la intervención constituye, siempre que la conducta sea culpable, una infracción administrativa muy grave en materia de gestión económica presupuestaria que puede comportar la exigencia de responsabilidades.</w:t>
      </w:r>
    </w:p>
    <w:p w:rsidR="00E66DFA" w:rsidRPr="00E66DFA" w:rsidRDefault="00E66DFA" w:rsidP="00F14B45">
      <w:pPr>
        <w:spacing w:after="0" w:line="276" w:lineRule="auto"/>
        <w:jc w:val="both"/>
        <w:rPr>
          <w:rFonts w:ascii="Arial" w:hAnsi="Arial" w:cs="Arial"/>
        </w:rPr>
      </w:pPr>
    </w:p>
    <w:p w:rsidR="00E66DFA" w:rsidRDefault="00E66DFA" w:rsidP="00E66DFA">
      <w:pPr>
        <w:shd w:val="clear" w:color="auto" w:fill="D9D9D9"/>
        <w:spacing w:after="0" w:line="276" w:lineRule="auto"/>
        <w:jc w:val="both"/>
        <w:rPr>
          <w:rFonts w:ascii="Arial" w:eastAsia="Times New Roman" w:hAnsi="Arial" w:cs="Arial"/>
          <w:lang w:val="ca-ES"/>
        </w:rPr>
      </w:pPr>
      <w:r>
        <w:rPr>
          <w:rFonts w:ascii="Arial" w:eastAsia="Times New Roman" w:hAnsi="Arial" w:cs="Arial"/>
        </w:rPr>
        <w:t>Además, de acuerdo con el artículo 28.</w:t>
      </w:r>
      <w:r>
        <w:rPr>
          <w:rFonts w:ascii="Arial" w:eastAsia="Times New Roman" w:hAnsi="Arial" w:cs="Arial"/>
          <w:i/>
          <w:iCs/>
        </w:rPr>
        <w:t>c</w:t>
      </w:r>
      <w:r>
        <w:rPr>
          <w:rFonts w:ascii="Arial" w:eastAsia="Times New Roman" w:hAnsi="Arial" w:cs="Arial"/>
        </w:rPr>
        <w:t xml:space="preserve"> de la L 19/2013, la aprobación y compromiso de gastos, reconocimiento de obligaciones y ordenación de pagos sin crédito suficiente, también constituye una infracción administrativa muy grave en los mismos términos establecidos para la omisión del procedimiento de resolución de discrepancias.</w:t>
      </w:r>
      <w:r>
        <w:rPr>
          <w:rStyle w:val="Refdenotaalpie"/>
          <w:rFonts w:ascii="Arial" w:eastAsia="Times New Roman" w:hAnsi="Arial" w:cs="Arial"/>
          <w:lang w:val="ca-ES"/>
        </w:rPr>
        <w:footnoteReference w:id="2"/>
      </w:r>
    </w:p>
    <w:p w:rsidR="00F14B45" w:rsidRPr="002C32D1" w:rsidRDefault="00F14B45" w:rsidP="00F14B45">
      <w:pPr>
        <w:spacing w:after="0" w:line="276" w:lineRule="auto"/>
        <w:jc w:val="both"/>
        <w:rPr>
          <w:rFonts w:ascii="Arial" w:hAnsi="Arial" w:cs="Arial"/>
        </w:rPr>
      </w:pPr>
    </w:p>
    <w:p w:rsidR="00F14B45" w:rsidRPr="002C32D1" w:rsidRDefault="00F14B45" w:rsidP="00F14B45">
      <w:pPr>
        <w:spacing w:after="0" w:line="276" w:lineRule="auto"/>
        <w:jc w:val="both"/>
        <w:rPr>
          <w:rFonts w:ascii="Arial" w:hAnsi="Arial" w:cs="Arial"/>
        </w:rPr>
      </w:pPr>
    </w:p>
    <w:p w:rsidR="00F14B45" w:rsidRPr="002C32D1" w:rsidRDefault="00F14B45" w:rsidP="00F14B45">
      <w:pPr>
        <w:spacing w:after="0" w:line="276" w:lineRule="auto"/>
        <w:jc w:val="both"/>
        <w:rPr>
          <w:rFonts w:ascii="Arial" w:hAnsi="Arial" w:cs="Arial"/>
          <w:sz w:val="16"/>
          <w:szCs w:val="16"/>
        </w:rPr>
      </w:pPr>
      <w:r w:rsidRPr="002C32D1">
        <w:rPr>
          <w:rFonts w:ascii="Arial" w:hAnsi="Arial" w:cs="Arial"/>
          <w:sz w:val="16"/>
          <w:szCs w:val="16"/>
        </w:rPr>
        <w:t>DOCUMENTO FIRMADO ELECTRÓNICAMENTE</w:t>
      </w:r>
    </w:p>
    <w:sectPr w:rsidR="00F14B45" w:rsidRPr="002C32D1" w:rsidSect="00F14B45">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C8" w:rsidRDefault="001058C8" w:rsidP="002C32D1">
      <w:pPr>
        <w:spacing w:after="0" w:line="240" w:lineRule="auto"/>
      </w:pPr>
      <w:r>
        <w:separator/>
      </w:r>
    </w:p>
  </w:endnote>
  <w:endnote w:type="continuationSeparator" w:id="0">
    <w:p w:rsidR="001058C8" w:rsidRDefault="001058C8" w:rsidP="002C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C8" w:rsidRDefault="001058C8" w:rsidP="002C32D1">
      <w:pPr>
        <w:spacing w:after="0" w:line="240" w:lineRule="auto"/>
      </w:pPr>
      <w:r>
        <w:separator/>
      </w:r>
    </w:p>
  </w:footnote>
  <w:footnote w:type="continuationSeparator" w:id="0">
    <w:p w:rsidR="001058C8" w:rsidRDefault="001058C8" w:rsidP="002C32D1">
      <w:pPr>
        <w:spacing w:after="0" w:line="240" w:lineRule="auto"/>
      </w:pPr>
      <w:r>
        <w:continuationSeparator/>
      </w:r>
    </w:p>
  </w:footnote>
  <w:footnote w:id="1">
    <w:p w:rsidR="002C32D1" w:rsidRPr="00257892" w:rsidRDefault="002C32D1" w:rsidP="002C32D1">
      <w:pPr>
        <w:pStyle w:val="Textonotapie"/>
        <w:rPr>
          <w:rFonts w:ascii="Arial" w:hAnsi="Arial" w:cs="Arial"/>
          <w:i/>
          <w:iCs/>
          <w:sz w:val="18"/>
          <w:szCs w:val="18"/>
        </w:rPr>
      </w:pPr>
      <w:r w:rsidRPr="00257892">
        <w:rPr>
          <w:rStyle w:val="Refdenotaalpie"/>
          <w:rFonts w:ascii="Arial" w:hAnsi="Arial" w:cs="Arial"/>
          <w:i/>
          <w:iCs/>
          <w:sz w:val="18"/>
          <w:szCs w:val="18"/>
        </w:rPr>
        <w:footnoteRef/>
      </w:r>
      <w:r w:rsidRPr="00257892">
        <w:rPr>
          <w:rFonts w:ascii="Arial" w:hAnsi="Arial" w:cs="Arial"/>
          <w:i/>
          <w:iCs/>
          <w:sz w:val="18"/>
          <w:szCs w:val="18"/>
        </w:rPr>
        <w:t xml:space="preserve"> </w:t>
      </w:r>
      <w:r>
        <w:rPr>
          <w:rFonts w:ascii="Arial" w:hAnsi="Arial" w:cs="Arial"/>
          <w:i/>
          <w:iCs/>
          <w:sz w:val="18"/>
          <w:szCs w:val="18"/>
        </w:rPr>
        <w:t>Incluir este párrafo en caso que el órgano interventor quiera formular observaciones.</w:t>
      </w:r>
    </w:p>
  </w:footnote>
  <w:footnote w:id="2">
    <w:p w:rsidR="00E66DFA" w:rsidRPr="00ED04BE" w:rsidRDefault="00E66DFA" w:rsidP="00E66DFA">
      <w:pPr>
        <w:pStyle w:val="Textonotapie"/>
        <w:jc w:val="both"/>
        <w:rPr>
          <w:rFonts w:ascii="Arial" w:hAnsi="Arial" w:cs="Arial"/>
          <w:i/>
          <w:iCs/>
          <w:sz w:val="18"/>
          <w:szCs w:val="18"/>
        </w:rPr>
      </w:pPr>
      <w:r w:rsidRPr="00ED04BE">
        <w:rPr>
          <w:rStyle w:val="Refdenotaalpie"/>
          <w:rFonts w:ascii="Arial" w:hAnsi="Arial" w:cs="Arial"/>
          <w:i/>
          <w:iCs/>
          <w:sz w:val="18"/>
          <w:szCs w:val="18"/>
        </w:rPr>
        <w:footnoteRef/>
      </w:r>
      <w:r w:rsidRPr="00ED04BE">
        <w:rPr>
          <w:rFonts w:ascii="Arial" w:hAnsi="Arial" w:cs="Arial"/>
          <w:i/>
          <w:iCs/>
          <w:sz w:val="18"/>
          <w:szCs w:val="18"/>
        </w:rPr>
        <w:t xml:space="preserve"> Añadir este párrafo, únicamente cuando se incumpla alguno de los requisitos básicos generales referentes a la existencia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D1" w:rsidRPr="00257892" w:rsidRDefault="002C32D1" w:rsidP="002C32D1">
    <w:pPr>
      <w:jc w:val="right"/>
      <w:rPr>
        <w:rFonts w:ascii="Arial" w:hAnsi="Arial" w:cs="Arial"/>
        <w:b/>
        <w:sz w:val="32"/>
        <w:szCs w:val="32"/>
      </w:rPr>
    </w:pPr>
    <w:bookmarkStart w:id="4" w:name="_Hlk46487627"/>
    <w:r w:rsidRPr="00257892">
      <w:rPr>
        <w:rFonts w:ascii="Arial" w:hAnsi="Arial" w:cs="Arial"/>
        <w:bCs/>
        <w:i/>
        <w:iCs/>
        <w:sz w:val="20"/>
        <w:szCs w:val="20"/>
      </w:rPr>
      <w:t>Mode</w:t>
    </w:r>
    <w:r>
      <w:rPr>
        <w:rFonts w:ascii="Arial" w:hAnsi="Arial" w:cs="Arial"/>
        <w:bCs/>
        <w:i/>
        <w:iCs/>
        <w:sz w:val="20"/>
        <w:szCs w:val="20"/>
      </w:rPr>
      <w:t>lo de informe de fiscalización/</w:t>
    </w:r>
    <w:proofErr w:type="spellStart"/>
    <w:r>
      <w:rPr>
        <w:rFonts w:ascii="Arial" w:hAnsi="Arial" w:cs="Arial"/>
        <w:bCs/>
        <w:i/>
        <w:iCs/>
        <w:sz w:val="20"/>
        <w:szCs w:val="20"/>
      </w:rPr>
      <w:t>intervención_Tesorería</w:t>
    </w:r>
    <w:proofErr w:type="spellEnd"/>
    <w:r>
      <w:rPr>
        <w:rFonts w:ascii="Arial" w:hAnsi="Arial" w:cs="Arial"/>
        <w:bCs/>
        <w:i/>
        <w:iCs/>
        <w:sz w:val="20"/>
        <w:szCs w:val="20"/>
      </w:rPr>
      <w:t>,</w:t>
    </w:r>
    <w:r w:rsidRPr="00257892">
      <w:rPr>
        <w:rFonts w:ascii="Arial" w:hAnsi="Arial" w:cs="Arial"/>
        <w:bCs/>
        <w:i/>
        <w:iCs/>
        <w:sz w:val="20"/>
        <w:szCs w:val="20"/>
      </w:rPr>
      <w:t xml:space="preserve"> PAJ, </w:t>
    </w:r>
    <w:r>
      <w:rPr>
        <w:rFonts w:ascii="Arial" w:hAnsi="Arial" w:cs="Arial"/>
        <w:bCs/>
        <w:i/>
        <w:iCs/>
        <w:sz w:val="20"/>
        <w:szCs w:val="20"/>
      </w:rPr>
      <w:t>A</w:t>
    </w:r>
    <w:r w:rsidRPr="00257892">
      <w:rPr>
        <w:rFonts w:ascii="Arial" w:hAnsi="Arial" w:cs="Arial"/>
        <w:bCs/>
        <w:i/>
        <w:iCs/>
        <w:sz w:val="20"/>
        <w:szCs w:val="20"/>
      </w:rPr>
      <w:t>CF_v24072020</w:t>
    </w: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2A6"/>
    <w:multiLevelType w:val="hybridMultilevel"/>
    <w:tmpl w:val="B53C52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2A4839"/>
    <w:multiLevelType w:val="hybridMultilevel"/>
    <w:tmpl w:val="95EAAF8C"/>
    <w:lvl w:ilvl="0" w:tplc="17B8505E">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E3B63CC"/>
    <w:multiLevelType w:val="hybridMultilevel"/>
    <w:tmpl w:val="E0BE959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BD70C30"/>
    <w:multiLevelType w:val="hybridMultilevel"/>
    <w:tmpl w:val="2F4A7DAE"/>
    <w:lvl w:ilvl="0" w:tplc="40E86D44">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2EFB07C6"/>
    <w:multiLevelType w:val="hybridMultilevel"/>
    <w:tmpl w:val="E850E13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3BA43EE0"/>
    <w:multiLevelType w:val="hybridMultilevel"/>
    <w:tmpl w:val="851C066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4B92532D"/>
    <w:multiLevelType w:val="hybridMultilevel"/>
    <w:tmpl w:val="4E3EFB12"/>
    <w:lvl w:ilvl="0" w:tplc="92D0C488">
      <w:start w:val="1"/>
      <w:numFmt w:val="bullet"/>
      <w:lvlText w:val="-"/>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51A320B7"/>
    <w:multiLevelType w:val="hybridMultilevel"/>
    <w:tmpl w:val="39ACDC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45"/>
    <w:rsid w:val="001058C8"/>
    <w:rsid w:val="002A54BF"/>
    <w:rsid w:val="002C32D1"/>
    <w:rsid w:val="00337B98"/>
    <w:rsid w:val="00383B36"/>
    <w:rsid w:val="00440903"/>
    <w:rsid w:val="004C2EC3"/>
    <w:rsid w:val="004D73EB"/>
    <w:rsid w:val="007D1EE8"/>
    <w:rsid w:val="00A5210F"/>
    <w:rsid w:val="00CB4928"/>
    <w:rsid w:val="00DA666E"/>
    <w:rsid w:val="00DF2811"/>
    <w:rsid w:val="00E173AF"/>
    <w:rsid w:val="00E4126D"/>
    <w:rsid w:val="00E66DFA"/>
    <w:rsid w:val="00EF6377"/>
    <w:rsid w:val="00F14B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736F"/>
  <w15:chartTrackingRefBased/>
  <w15:docId w15:val="{7CEA2319-01B6-4100-A368-6178BA0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B4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4B45"/>
    <w:pPr>
      <w:ind w:left="720"/>
      <w:contextualSpacing/>
    </w:pPr>
  </w:style>
  <w:style w:type="paragraph" w:styleId="Encabezado">
    <w:name w:val="header"/>
    <w:basedOn w:val="Normal"/>
    <w:link w:val="EncabezadoCar"/>
    <w:uiPriority w:val="99"/>
    <w:unhideWhenUsed/>
    <w:rsid w:val="002C32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32D1"/>
  </w:style>
  <w:style w:type="paragraph" w:styleId="Piedepgina">
    <w:name w:val="footer"/>
    <w:basedOn w:val="Normal"/>
    <w:link w:val="PiedepginaCar"/>
    <w:uiPriority w:val="99"/>
    <w:unhideWhenUsed/>
    <w:rsid w:val="002C32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32D1"/>
  </w:style>
  <w:style w:type="paragraph" w:styleId="Textonotapie">
    <w:name w:val="footnote text"/>
    <w:basedOn w:val="Normal"/>
    <w:link w:val="TextonotapieCar"/>
    <w:uiPriority w:val="99"/>
    <w:semiHidden/>
    <w:unhideWhenUsed/>
    <w:rsid w:val="002C32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32D1"/>
    <w:rPr>
      <w:sz w:val="20"/>
      <w:szCs w:val="20"/>
      <w:lang w:val="es-ES"/>
    </w:rPr>
  </w:style>
  <w:style w:type="character" w:styleId="Refdenotaalpie">
    <w:name w:val="footnote reference"/>
    <w:basedOn w:val="Fuentedeprrafopredeter"/>
    <w:uiPriority w:val="99"/>
    <w:semiHidden/>
    <w:unhideWhenUsed/>
    <w:rsid w:val="002C3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Intern2</dc:creator>
  <cp:keywords/>
  <dc:description/>
  <cp:lastModifiedBy>Mireia Adalid Domènech</cp:lastModifiedBy>
  <cp:revision>7</cp:revision>
  <dcterms:created xsi:type="dcterms:W3CDTF">2019-10-07T12:32:00Z</dcterms:created>
  <dcterms:modified xsi:type="dcterms:W3CDTF">2020-07-27T05:44:00Z</dcterms:modified>
</cp:coreProperties>
</file>